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bookmarkStart w:id="109" w:name="_GoBack"/>
      <w:bookmarkEnd w:id="109"/>
      <w:r>
        <w:rPr>
          <w:rFonts w:hint="eastAsia" w:eastAsia="宋体"/>
          <w:lang w:eastAsia="zh-CN"/>
        </w:rPr>
        <w:drawing>
          <wp:inline distT="0" distB="0" distL="114300" distR="114300">
            <wp:extent cx="5844540" cy="8882380"/>
            <wp:effectExtent l="0" t="0" r="3810" b="13970"/>
            <wp:docPr id="12" name="图片 12" descr="文件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文件封面"/>
                    <pic:cNvPicPr>
                      <a:picLocks noChangeAspect="1"/>
                    </pic:cNvPicPr>
                  </pic:nvPicPr>
                  <pic:blipFill>
                    <a:blip r:embed="rId11"/>
                    <a:stretch>
                      <a:fillRect/>
                    </a:stretch>
                  </pic:blipFill>
                  <pic:spPr>
                    <a:xfrm>
                      <a:off x="0" y="0"/>
                      <a:ext cx="5844540" cy="8882380"/>
                    </a:xfrm>
                    <a:prstGeom prst="rect">
                      <a:avLst/>
                    </a:prstGeom>
                  </pic:spPr>
                </pic:pic>
              </a:graphicData>
            </a:graphic>
          </wp:inline>
        </w:drawing>
      </w:r>
    </w:p>
    <w:p/>
    <w:sdt>
      <w:sdtPr>
        <w:rPr>
          <w:b/>
          <w:bCs/>
          <w:sz w:val="44"/>
          <w:szCs w:val="44"/>
        </w:rPr>
        <w:id w:val="147451689"/>
        <w:docPartObj>
          <w:docPartGallery w:val="Table of Contents"/>
          <w:docPartUnique/>
        </w:docPartObj>
      </w:sdtPr>
      <w:sdtEndPr>
        <w:rPr>
          <w:b/>
          <w:bCs/>
          <w:sz w:val="22"/>
          <w:szCs w:val="22"/>
        </w:rPr>
      </w:sdtEndPr>
      <w:sdtContent>
        <w:p>
          <w:pPr>
            <w:jc w:val="center"/>
            <w:rPr>
              <w:b/>
              <w:bCs/>
              <w:sz w:val="44"/>
              <w:szCs w:val="44"/>
            </w:rPr>
          </w:pPr>
        </w:p>
        <w:p>
          <w:pPr>
            <w:jc w:val="center"/>
            <w:rPr>
              <w:b/>
              <w:bCs/>
              <w:sz w:val="40"/>
              <w:szCs w:val="40"/>
            </w:rPr>
          </w:pPr>
          <w:r>
            <w:rPr>
              <w:b/>
              <w:bCs/>
              <w:sz w:val="40"/>
              <w:szCs w:val="40"/>
            </w:rPr>
            <w:t>目</w:t>
          </w:r>
          <w:r>
            <w:rPr>
              <w:rFonts w:hint="eastAsia"/>
              <w:b/>
              <w:bCs/>
              <w:sz w:val="40"/>
              <w:szCs w:val="40"/>
              <w:lang w:val="en-US"/>
            </w:rPr>
            <w:t xml:space="preserve">  </w:t>
          </w:r>
          <w:r>
            <w:rPr>
              <w:b/>
              <w:bCs/>
              <w:sz w:val="40"/>
              <w:szCs w:val="40"/>
            </w:rPr>
            <w:t>录</w:t>
          </w:r>
        </w:p>
        <w:p>
          <w:pPr>
            <w:pStyle w:val="2"/>
            <w:ind w:firstLine="480"/>
          </w:pPr>
        </w:p>
        <w:p>
          <w:pPr>
            <w:pStyle w:val="18"/>
            <w:tabs>
              <w:tab w:val="right" w:leader="dot" w:pos="9871"/>
            </w:tabs>
          </w:pPr>
          <w:r>
            <w:fldChar w:fldCharType="begin"/>
          </w:r>
          <w:r>
            <w:instrText xml:space="preserve">TOC \o "1-1" \h \u </w:instrText>
          </w:r>
          <w:r>
            <w:fldChar w:fldCharType="separate"/>
          </w:r>
          <w:r>
            <w:fldChar w:fldCharType="begin"/>
          </w:r>
          <w:r>
            <w:instrText xml:space="preserve"> HYPERLINK \l "_Toc30566" </w:instrText>
          </w:r>
          <w:r>
            <w:fldChar w:fldCharType="separate"/>
          </w:r>
          <w:r>
            <w:rPr>
              <w:bCs/>
            </w:rPr>
            <w:t>第一章</w:t>
          </w:r>
          <w:r>
            <w:rPr>
              <w:rFonts w:hint="eastAsia"/>
              <w:bCs/>
              <w:lang w:val="en-US"/>
            </w:rPr>
            <w:t xml:space="preserve">  招标公告</w:t>
          </w:r>
          <w:r>
            <w:tab/>
          </w:r>
          <w:r>
            <w:fldChar w:fldCharType="begin"/>
          </w:r>
          <w:r>
            <w:instrText xml:space="preserve"> PAGEREF _Toc30566 \h </w:instrText>
          </w:r>
          <w:r>
            <w:fldChar w:fldCharType="separate"/>
          </w:r>
          <w:r>
            <w:t>1</w:t>
          </w:r>
          <w:r>
            <w:fldChar w:fldCharType="end"/>
          </w:r>
          <w:r>
            <w:fldChar w:fldCharType="end"/>
          </w:r>
        </w:p>
        <w:p>
          <w:pPr>
            <w:pStyle w:val="18"/>
            <w:tabs>
              <w:tab w:val="right" w:leader="dot" w:pos="9871"/>
            </w:tabs>
          </w:pPr>
          <w:r>
            <w:fldChar w:fldCharType="begin"/>
          </w:r>
          <w:r>
            <w:instrText xml:space="preserve"> HYPERLINK \l "_Toc27522" </w:instrText>
          </w:r>
          <w:r>
            <w:fldChar w:fldCharType="separate"/>
          </w:r>
          <w:r>
            <w:rPr>
              <w:bCs/>
            </w:rPr>
            <w:t>第</w:t>
          </w:r>
          <w:r>
            <w:rPr>
              <w:rFonts w:hint="eastAsia"/>
              <w:bCs/>
              <w:lang w:val="en-US"/>
            </w:rPr>
            <w:t>二</w:t>
          </w:r>
          <w:r>
            <w:rPr>
              <w:bCs/>
            </w:rPr>
            <w:t>章</w:t>
          </w:r>
          <w:r>
            <w:rPr>
              <w:rFonts w:hint="eastAsia"/>
              <w:bCs/>
              <w:lang w:val="en-US"/>
            </w:rPr>
            <w:t xml:space="preserve">  </w:t>
          </w:r>
          <w:r>
            <w:rPr>
              <w:bCs/>
            </w:rPr>
            <w:t>投标供应商须知前附表</w:t>
          </w:r>
          <w:r>
            <w:tab/>
          </w:r>
          <w:r>
            <w:fldChar w:fldCharType="begin"/>
          </w:r>
          <w:r>
            <w:instrText xml:space="preserve"> PAGEREF _Toc27522 \h </w:instrText>
          </w:r>
          <w:r>
            <w:fldChar w:fldCharType="separate"/>
          </w:r>
          <w:r>
            <w:t>4</w:t>
          </w:r>
          <w:r>
            <w:fldChar w:fldCharType="end"/>
          </w:r>
          <w:r>
            <w:fldChar w:fldCharType="end"/>
          </w:r>
        </w:p>
        <w:p>
          <w:pPr>
            <w:pStyle w:val="18"/>
            <w:tabs>
              <w:tab w:val="right" w:leader="dot" w:pos="9871"/>
            </w:tabs>
          </w:pPr>
          <w:r>
            <w:fldChar w:fldCharType="begin"/>
          </w:r>
          <w:r>
            <w:instrText xml:space="preserve"> HYPERLINK \l "_Toc66" </w:instrText>
          </w:r>
          <w:r>
            <w:fldChar w:fldCharType="separate"/>
          </w:r>
          <w:r>
            <w:rPr>
              <w:bCs/>
            </w:rPr>
            <w:t>第三章</w:t>
          </w:r>
          <w:r>
            <w:rPr>
              <w:rFonts w:hint="eastAsia"/>
              <w:bCs/>
              <w:lang w:val="en-US"/>
            </w:rPr>
            <w:t xml:space="preserve">  </w:t>
          </w:r>
          <w:r>
            <w:rPr>
              <w:bCs/>
            </w:rPr>
            <w:t>投标供应商须知</w:t>
          </w:r>
          <w:r>
            <w:tab/>
          </w:r>
          <w:r>
            <w:fldChar w:fldCharType="begin"/>
          </w:r>
          <w:r>
            <w:instrText xml:space="preserve"> PAGEREF _Toc66 \h </w:instrText>
          </w:r>
          <w:r>
            <w:fldChar w:fldCharType="separate"/>
          </w:r>
          <w:r>
            <w:t>10</w:t>
          </w:r>
          <w:r>
            <w:fldChar w:fldCharType="end"/>
          </w:r>
          <w:r>
            <w:fldChar w:fldCharType="end"/>
          </w:r>
        </w:p>
        <w:p>
          <w:pPr>
            <w:pStyle w:val="18"/>
            <w:tabs>
              <w:tab w:val="right" w:leader="dot" w:pos="9871"/>
            </w:tabs>
          </w:pPr>
          <w:r>
            <w:fldChar w:fldCharType="begin"/>
          </w:r>
          <w:r>
            <w:instrText xml:space="preserve"> HYPERLINK \l "_Toc30077" </w:instrText>
          </w:r>
          <w:r>
            <w:fldChar w:fldCharType="separate"/>
          </w:r>
          <w:r>
            <w:rPr>
              <w:bCs/>
            </w:rPr>
            <w:t>第四章</w:t>
          </w:r>
          <w:r>
            <w:rPr>
              <w:rFonts w:hint="eastAsia"/>
              <w:bCs/>
              <w:lang w:val="en-US"/>
            </w:rPr>
            <w:t xml:space="preserve">  </w:t>
          </w:r>
          <w:r>
            <w:rPr>
              <w:bCs/>
            </w:rPr>
            <w:t>合同主要条款</w:t>
          </w:r>
          <w:r>
            <w:tab/>
          </w:r>
          <w:r>
            <w:fldChar w:fldCharType="begin"/>
          </w:r>
          <w:r>
            <w:instrText xml:space="preserve"> PAGEREF _Toc30077 \h </w:instrText>
          </w:r>
          <w:r>
            <w:fldChar w:fldCharType="separate"/>
          </w:r>
          <w:r>
            <w:t>20</w:t>
          </w:r>
          <w:r>
            <w:fldChar w:fldCharType="end"/>
          </w:r>
          <w:r>
            <w:fldChar w:fldCharType="end"/>
          </w:r>
        </w:p>
        <w:p>
          <w:pPr>
            <w:pStyle w:val="18"/>
            <w:tabs>
              <w:tab w:val="right" w:leader="dot" w:pos="9871"/>
            </w:tabs>
          </w:pPr>
          <w:r>
            <w:fldChar w:fldCharType="begin"/>
          </w:r>
          <w:r>
            <w:instrText xml:space="preserve"> HYPERLINK \l "_Toc10061" </w:instrText>
          </w:r>
          <w:r>
            <w:fldChar w:fldCharType="separate"/>
          </w:r>
          <w:r>
            <w:rPr>
              <w:bCs/>
            </w:rPr>
            <w:t>第五章</w:t>
          </w:r>
          <w:r>
            <w:rPr>
              <w:rFonts w:hint="eastAsia"/>
              <w:bCs/>
              <w:lang w:val="en-US"/>
            </w:rPr>
            <w:t xml:space="preserve">  </w:t>
          </w:r>
          <w:r>
            <w:rPr>
              <w:bCs/>
            </w:rPr>
            <w:t>评标方法</w:t>
          </w:r>
          <w:r>
            <w:tab/>
          </w:r>
          <w:r>
            <w:fldChar w:fldCharType="begin"/>
          </w:r>
          <w:r>
            <w:instrText xml:space="preserve"> PAGEREF _Toc10061 \h </w:instrText>
          </w:r>
          <w:r>
            <w:fldChar w:fldCharType="separate"/>
          </w:r>
          <w:r>
            <w:t>23</w:t>
          </w:r>
          <w:r>
            <w:fldChar w:fldCharType="end"/>
          </w:r>
          <w:r>
            <w:fldChar w:fldCharType="end"/>
          </w:r>
        </w:p>
        <w:p>
          <w:pPr>
            <w:pStyle w:val="18"/>
            <w:tabs>
              <w:tab w:val="right" w:leader="dot" w:pos="9871"/>
            </w:tabs>
          </w:pPr>
          <w:r>
            <w:fldChar w:fldCharType="begin"/>
          </w:r>
          <w:r>
            <w:instrText xml:space="preserve"> HYPERLINK \l "_Toc6536" </w:instrText>
          </w:r>
          <w:r>
            <w:fldChar w:fldCharType="separate"/>
          </w:r>
          <w:r>
            <w:rPr>
              <w:bCs/>
            </w:rPr>
            <w:t>第六章</w:t>
          </w:r>
          <w:r>
            <w:rPr>
              <w:rFonts w:hint="eastAsia"/>
              <w:bCs/>
              <w:lang w:val="en-US"/>
            </w:rPr>
            <w:t xml:space="preserve">  </w:t>
          </w:r>
          <w:r>
            <w:rPr>
              <w:bCs/>
            </w:rPr>
            <w:t>投标文件格式及构成</w:t>
          </w:r>
          <w:r>
            <w:tab/>
          </w:r>
          <w:r>
            <w:fldChar w:fldCharType="begin"/>
          </w:r>
          <w:r>
            <w:instrText xml:space="preserve"> PAGEREF _Toc6536 \h </w:instrText>
          </w:r>
          <w:r>
            <w:fldChar w:fldCharType="separate"/>
          </w:r>
          <w:r>
            <w:t>31</w:t>
          </w:r>
          <w:r>
            <w:fldChar w:fldCharType="end"/>
          </w:r>
          <w:r>
            <w:fldChar w:fldCharType="end"/>
          </w:r>
        </w:p>
        <w:p>
          <w:pPr>
            <w:pStyle w:val="18"/>
            <w:tabs>
              <w:tab w:val="right" w:leader="dot" w:pos="9871"/>
            </w:tabs>
          </w:pPr>
          <w:r>
            <w:fldChar w:fldCharType="begin"/>
          </w:r>
          <w:r>
            <w:instrText xml:space="preserve"> HYPERLINK \l "_Toc14147" </w:instrText>
          </w:r>
          <w:r>
            <w:fldChar w:fldCharType="separate"/>
          </w:r>
          <w:r>
            <w:rPr>
              <w:bCs/>
            </w:rPr>
            <w:t>第七章</w:t>
          </w:r>
          <w:r>
            <w:rPr>
              <w:rFonts w:hint="eastAsia"/>
              <w:bCs/>
              <w:lang w:val="en-US"/>
            </w:rPr>
            <w:t xml:space="preserve">  </w:t>
          </w:r>
          <w:r>
            <w:rPr>
              <w:bCs/>
            </w:rPr>
            <w:t>技术、商务及其他要求</w:t>
          </w:r>
          <w:r>
            <w:tab/>
          </w:r>
          <w:r>
            <w:fldChar w:fldCharType="begin"/>
          </w:r>
          <w:r>
            <w:instrText xml:space="preserve"> PAGEREF _Toc14147 \h </w:instrText>
          </w:r>
          <w:r>
            <w:fldChar w:fldCharType="separate"/>
          </w:r>
          <w:r>
            <w:t>45</w:t>
          </w:r>
          <w:r>
            <w:fldChar w:fldCharType="end"/>
          </w:r>
          <w:r>
            <w:fldChar w:fldCharType="end"/>
          </w:r>
        </w:p>
        <w:p>
          <w:pPr>
            <w:sectPr>
              <w:headerReference r:id="rId3" w:type="default"/>
              <w:footerReference r:id="rId4" w:type="default"/>
              <w:pgSz w:w="11911" w:h="16840"/>
              <w:pgMar w:top="1417" w:right="1020" w:bottom="1417" w:left="1020" w:header="0" w:footer="828" w:gutter="0"/>
              <w:cols w:space="0" w:num="1"/>
            </w:sectPr>
          </w:pPr>
          <w:r>
            <w:fldChar w:fldCharType="end"/>
          </w:r>
        </w:p>
      </w:sdtContent>
    </w:sdt>
    <w:p>
      <w:pPr>
        <w:pStyle w:val="4"/>
        <w:ind w:left="0" w:right="1100" w:rightChars="500"/>
        <w:jc w:val="center"/>
        <w:rPr>
          <w:b/>
          <w:bCs/>
          <w:lang w:val="en-US"/>
        </w:rPr>
      </w:pPr>
      <w:bookmarkStart w:id="0" w:name="_Toc30566"/>
      <w:r>
        <w:rPr>
          <w:b/>
          <w:bCs/>
        </w:rPr>
        <w:t>第一章</w:t>
      </w:r>
      <w:r>
        <w:rPr>
          <w:rFonts w:hint="eastAsia"/>
          <w:b/>
          <w:bCs/>
          <w:lang w:val="en-US"/>
        </w:rPr>
        <w:t xml:space="preserve">  招标公告</w:t>
      </w:r>
      <w:bookmarkEnd w:id="0"/>
    </w:p>
    <w:p>
      <w:pPr>
        <w:pBdr>
          <w:top w:val="single" w:color="auto" w:sz="4" w:space="1"/>
          <w:left w:val="single" w:color="auto" w:sz="4" w:space="4"/>
          <w:bottom w:val="single" w:color="auto" w:sz="4" w:space="1"/>
          <w:right w:val="single" w:color="auto" w:sz="4" w:space="4"/>
        </w:pBdr>
        <w:autoSpaceDE/>
        <w:autoSpaceDN/>
        <w:spacing w:line="360" w:lineRule="auto"/>
        <w:ind w:right="189" w:rightChars="86"/>
        <w:rPr>
          <w:sz w:val="24"/>
          <w:szCs w:val="24"/>
        </w:rPr>
      </w:pPr>
      <w:r>
        <w:rPr>
          <w:rFonts w:hint="eastAsia"/>
          <w:sz w:val="24"/>
          <w:szCs w:val="24"/>
        </w:rPr>
        <w:t>项目概况</w:t>
      </w:r>
    </w:p>
    <w:p>
      <w:pPr>
        <w:pBdr>
          <w:top w:val="single" w:color="auto" w:sz="4" w:space="1"/>
          <w:left w:val="single" w:color="auto" w:sz="4" w:space="4"/>
          <w:bottom w:val="single" w:color="auto" w:sz="4" w:space="1"/>
          <w:right w:val="single" w:color="auto" w:sz="4" w:space="4"/>
        </w:pBdr>
        <w:autoSpaceDE/>
        <w:autoSpaceDN/>
        <w:spacing w:line="360" w:lineRule="auto"/>
        <w:ind w:right="189" w:rightChars="86" w:firstLine="720" w:firstLineChars="300"/>
        <w:rPr>
          <w:sz w:val="24"/>
          <w:szCs w:val="24"/>
        </w:rPr>
      </w:pPr>
      <w:r>
        <w:rPr>
          <w:rFonts w:hint="eastAsia"/>
          <w:sz w:val="24"/>
          <w:szCs w:val="24"/>
          <w:u w:val="single"/>
        </w:rPr>
        <w:t>(遵义市中医院关于互联网医院建设项目采购）</w:t>
      </w:r>
      <w:r>
        <w:rPr>
          <w:rFonts w:hint="eastAsia"/>
          <w:sz w:val="24"/>
          <w:szCs w:val="24"/>
        </w:rPr>
        <w:t>采购项目的潜在供应商应在</w:t>
      </w:r>
      <w:r>
        <w:rPr>
          <w:rFonts w:hint="eastAsia"/>
          <w:sz w:val="24"/>
          <w:szCs w:val="24"/>
          <w:u w:val="single"/>
        </w:rPr>
        <w:t>（登录全国公共资源交易平台（贵州省.遵义市）会员系统进行网上报名,并下载招标文件（未注册账号的需注册账号后登录）</w:t>
      </w:r>
      <w:r>
        <w:rPr>
          <w:rFonts w:hint="eastAsia"/>
          <w:sz w:val="24"/>
          <w:szCs w:val="24"/>
          <w:u w:val="single"/>
          <w:lang w:val="en-US"/>
        </w:rPr>
        <w:t>)</w:t>
      </w:r>
      <w:r>
        <w:rPr>
          <w:rFonts w:hint="eastAsia"/>
          <w:sz w:val="24"/>
          <w:szCs w:val="24"/>
        </w:rPr>
        <w:t>获取</w:t>
      </w:r>
      <w:r>
        <w:rPr>
          <w:rFonts w:hint="eastAsia"/>
          <w:sz w:val="24"/>
          <w:szCs w:val="24"/>
          <w:lang w:val="en-US"/>
        </w:rPr>
        <w:t>招标</w:t>
      </w:r>
      <w:r>
        <w:rPr>
          <w:rFonts w:hint="eastAsia"/>
          <w:sz w:val="24"/>
          <w:szCs w:val="24"/>
        </w:rPr>
        <w:t>文件，并于</w:t>
      </w:r>
      <w:r>
        <w:rPr>
          <w:rFonts w:hint="eastAsia"/>
          <w:sz w:val="24"/>
          <w:szCs w:val="24"/>
          <w:u w:val="single"/>
          <w:lang w:val="en-US"/>
        </w:rPr>
        <w:t>2022</w:t>
      </w:r>
      <w:r>
        <w:rPr>
          <w:rFonts w:hint="eastAsia"/>
          <w:bCs/>
          <w:sz w:val="24"/>
          <w:szCs w:val="24"/>
          <w:u w:val="single"/>
        </w:rPr>
        <w:t>年</w:t>
      </w:r>
      <w:r>
        <w:rPr>
          <w:rFonts w:hint="eastAsia"/>
          <w:bCs/>
          <w:sz w:val="24"/>
          <w:szCs w:val="24"/>
          <w:u w:val="single"/>
          <w:lang w:val="en-US" w:eastAsia="zh-CN"/>
        </w:rPr>
        <w:t>11</w:t>
      </w:r>
      <w:r>
        <w:rPr>
          <w:rFonts w:hint="eastAsia"/>
          <w:bCs/>
          <w:sz w:val="24"/>
          <w:szCs w:val="24"/>
          <w:u w:val="single"/>
        </w:rPr>
        <w:t>月</w:t>
      </w:r>
      <w:r>
        <w:rPr>
          <w:rFonts w:hint="eastAsia"/>
          <w:bCs/>
          <w:sz w:val="24"/>
          <w:szCs w:val="24"/>
          <w:u w:val="single"/>
          <w:lang w:val="en-US" w:eastAsia="zh-CN"/>
        </w:rPr>
        <w:t>09</w:t>
      </w:r>
      <w:r>
        <w:rPr>
          <w:rFonts w:hint="eastAsia"/>
          <w:bCs/>
          <w:sz w:val="24"/>
          <w:szCs w:val="24"/>
          <w:u w:val="single"/>
        </w:rPr>
        <w:t>日</w:t>
      </w:r>
      <w:r>
        <w:rPr>
          <w:rFonts w:hint="eastAsia"/>
          <w:bCs/>
          <w:sz w:val="24"/>
          <w:szCs w:val="24"/>
          <w:u w:val="single"/>
          <w:lang w:val="en-US" w:eastAsia="zh-CN"/>
        </w:rPr>
        <w:t>13</w:t>
      </w:r>
      <w:r>
        <w:rPr>
          <w:rFonts w:hint="eastAsia"/>
          <w:bCs/>
          <w:sz w:val="24"/>
          <w:szCs w:val="24"/>
          <w:u w:val="single"/>
        </w:rPr>
        <w:t>点</w:t>
      </w:r>
      <w:r>
        <w:rPr>
          <w:rFonts w:hint="eastAsia"/>
          <w:bCs/>
          <w:sz w:val="24"/>
          <w:szCs w:val="24"/>
          <w:u w:val="single"/>
          <w:lang w:val="en-US" w:eastAsia="zh-CN"/>
        </w:rPr>
        <w:t>30</w:t>
      </w:r>
      <w:r>
        <w:rPr>
          <w:rFonts w:hint="eastAsia"/>
          <w:bCs/>
          <w:sz w:val="24"/>
          <w:szCs w:val="24"/>
          <w:u w:val="single"/>
        </w:rPr>
        <w:t>分</w:t>
      </w:r>
      <w:r>
        <w:rPr>
          <w:rFonts w:hint="eastAsia"/>
          <w:bCs/>
          <w:sz w:val="24"/>
          <w:szCs w:val="24"/>
        </w:rPr>
        <w:t>（北京时间）前提交</w:t>
      </w:r>
      <w:r>
        <w:rPr>
          <w:rFonts w:hint="eastAsia"/>
          <w:bCs/>
          <w:sz w:val="24"/>
          <w:szCs w:val="24"/>
          <w:lang w:val="en-US"/>
        </w:rPr>
        <w:t>投标</w:t>
      </w:r>
      <w:r>
        <w:rPr>
          <w:rFonts w:hint="eastAsia"/>
          <w:bCs/>
          <w:sz w:val="24"/>
          <w:szCs w:val="24"/>
        </w:rPr>
        <w:t>文件</w:t>
      </w:r>
      <w:r>
        <w:rPr>
          <w:rFonts w:hint="eastAsia"/>
          <w:sz w:val="24"/>
          <w:szCs w:val="24"/>
        </w:rPr>
        <w:t>。</w:t>
      </w:r>
    </w:p>
    <w:p>
      <w:pPr>
        <w:autoSpaceDE/>
        <w:autoSpaceDN/>
        <w:spacing w:line="360" w:lineRule="auto"/>
        <w:ind w:right="189" w:rightChars="86"/>
        <w:rPr>
          <w:b/>
          <w:bCs/>
          <w:sz w:val="24"/>
          <w:szCs w:val="24"/>
        </w:rPr>
      </w:pPr>
      <w:bookmarkStart w:id="1" w:name="_Toc20221"/>
      <w:bookmarkStart w:id="2" w:name="_Toc35393798"/>
      <w:bookmarkStart w:id="3" w:name="_Toc35393629"/>
      <w:bookmarkStart w:id="4" w:name="_Toc28359012"/>
      <w:bookmarkStart w:id="5" w:name="_Toc28359089"/>
      <w:r>
        <w:rPr>
          <w:rFonts w:hint="eastAsia"/>
          <w:b/>
          <w:bCs/>
          <w:sz w:val="24"/>
          <w:szCs w:val="24"/>
        </w:rPr>
        <w:t>一、项目基本情况</w:t>
      </w:r>
      <w:bookmarkEnd w:id="1"/>
      <w:bookmarkEnd w:id="2"/>
      <w:bookmarkEnd w:id="3"/>
      <w:bookmarkEnd w:id="4"/>
      <w:bookmarkEnd w:id="5"/>
    </w:p>
    <w:p>
      <w:pPr>
        <w:autoSpaceDE/>
        <w:autoSpaceDN/>
        <w:spacing w:line="360" w:lineRule="auto"/>
        <w:ind w:right="189" w:rightChars="86" w:firstLine="480" w:firstLineChars="200"/>
        <w:rPr>
          <w:sz w:val="24"/>
          <w:szCs w:val="24"/>
        </w:rPr>
      </w:pPr>
      <w:r>
        <w:rPr>
          <w:rFonts w:hint="eastAsia"/>
          <w:sz w:val="24"/>
          <w:szCs w:val="24"/>
        </w:rPr>
        <w:t>项目编号：GXZY2022-123</w:t>
      </w:r>
    </w:p>
    <w:p>
      <w:pPr>
        <w:autoSpaceDE/>
        <w:autoSpaceDN/>
        <w:spacing w:line="360" w:lineRule="auto"/>
        <w:ind w:right="189" w:rightChars="86" w:firstLine="480" w:firstLineChars="200"/>
        <w:rPr>
          <w:sz w:val="24"/>
          <w:szCs w:val="24"/>
        </w:rPr>
      </w:pPr>
      <w:r>
        <w:rPr>
          <w:rFonts w:hint="eastAsia"/>
          <w:sz w:val="24"/>
          <w:szCs w:val="24"/>
        </w:rPr>
        <w:t>项目名称：遵义市中医院关于互联网医院建设项目采购</w:t>
      </w:r>
    </w:p>
    <w:p>
      <w:pPr>
        <w:autoSpaceDE/>
        <w:autoSpaceDN/>
        <w:spacing w:line="360" w:lineRule="auto"/>
        <w:ind w:right="189" w:rightChars="86" w:firstLine="480" w:firstLineChars="200"/>
        <w:rPr>
          <w:sz w:val="24"/>
          <w:szCs w:val="24"/>
          <w:lang w:val="en-US"/>
        </w:rPr>
      </w:pPr>
      <w:r>
        <w:rPr>
          <w:rFonts w:hint="eastAsia"/>
          <w:sz w:val="24"/>
          <w:szCs w:val="24"/>
        </w:rPr>
        <w:t>项目预算金额：</w:t>
      </w:r>
      <w:r>
        <w:rPr>
          <w:rFonts w:hint="eastAsia"/>
          <w:sz w:val="24"/>
          <w:szCs w:val="24"/>
          <w:lang w:val="en-US"/>
        </w:rPr>
        <w:t>260万元</w:t>
      </w:r>
    </w:p>
    <w:p>
      <w:pPr>
        <w:autoSpaceDE/>
        <w:autoSpaceDN/>
        <w:spacing w:line="360" w:lineRule="auto"/>
        <w:ind w:right="189" w:rightChars="86" w:firstLine="480" w:firstLineChars="200"/>
        <w:rPr>
          <w:sz w:val="24"/>
          <w:szCs w:val="24"/>
          <w:lang w:val="en-US"/>
        </w:rPr>
      </w:pPr>
      <w:r>
        <w:rPr>
          <w:rFonts w:hint="eastAsia"/>
          <w:sz w:val="24"/>
          <w:szCs w:val="24"/>
        </w:rPr>
        <w:t>采购需求：</w:t>
      </w:r>
    </w:p>
    <w:p>
      <w:pPr>
        <w:numPr>
          <w:ilvl w:val="0"/>
          <w:numId w:val="1"/>
        </w:numPr>
        <w:autoSpaceDE/>
        <w:autoSpaceDN/>
        <w:spacing w:line="360" w:lineRule="auto"/>
        <w:ind w:right="189" w:rightChars="86" w:firstLine="420"/>
        <w:rPr>
          <w:sz w:val="24"/>
          <w:szCs w:val="24"/>
          <w:lang w:val="en-US"/>
        </w:rPr>
      </w:pPr>
      <w:r>
        <w:rPr>
          <w:rFonts w:hint="eastAsia"/>
          <w:sz w:val="24"/>
          <w:szCs w:val="24"/>
          <w:lang w:val="en-US"/>
        </w:rPr>
        <w:t>数量：1批</w:t>
      </w:r>
    </w:p>
    <w:p>
      <w:pPr>
        <w:numPr>
          <w:ilvl w:val="0"/>
          <w:numId w:val="1"/>
        </w:numPr>
        <w:autoSpaceDE/>
        <w:autoSpaceDN/>
        <w:spacing w:line="360" w:lineRule="auto"/>
        <w:ind w:right="189" w:rightChars="86" w:firstLine="420"/>
        <w:rPr>
          <w:sz w:val="24"/>
          <w:szCs w:val="24"/>
          <w:u w:val="single"/>
        </w:rPr>
      </w:pPr>
      <w:r>
        <w:rPr>
          <w:rFonts w:hint="eastAsia"/>
          <w:sz w:val="24"/>
          <w:szCs w:val="24"/>
        </w:rPr>
        <w:t>简要技术需求或服务要求：详见招标文件</w:t>
      </w:r>
    </w:p>
    <w:p>
      <w:pPr>
        <w:numPr>
          <w:ilvl w:val="0"/>
          <w:numId w:val="1"/>
        </w:numPr>
        <w:autoSpaceDE/>
        <w:autoSpaceDN/>
        <w:spacing w:line="360" w:lineRule="auto"/>
        <w:ind w:right="189" w:rightChars="86" w:firstLine="420"/>
        <w:rPr>
          <w:sz w:val="24"/>
          <w:szCs w:val="24"/>
        </w:rPr>
      </w:pPr>
      <w:r>
        <w:rPr>
          <w:rFonts w:hint="eastAsia"/>
          <w:sz w:val="24"/>
          <w:szCs w:val="24"/>
          <w:lang w:val="en-US"/>
        </w:rPr>
        <w:t>合同履行期限：</w:t>
      </w:r>
      <w:r>
        <w:rPr>
          <w:rFonts w:hint="eastAsia"/>
          <w:sz w:val="24"/>
          <w:szCs w:val="24"/>
          <w:highlight w:val="yellow"/>
          <w:u w:val="single"/>
          <w:lang w:val="en-US"/>
        </w:rPr>
        <w:t xml:space="preserve"> 180天内完成实施并通过验收</w:t>
      </w:r>
      <w:r>
        <w:rPr>
          <w:rFonts w:hint="eastAsia"/>
          <w:sz w:val="24"/>
          <w:szCs w:val="24"/>
          <w:highlight w:val="yellow"/>
          <w:lang w:val="en-US"/>
        </w:rPr>
        <w:t>。</w:t>
      </w:r>
    </w:p>
    <w:p>
      <w:pPr>
        <w:autoSpaceDE/>
        <w:autoSpaceDN/>
        <w:spacing w:line="360" w:lineRule="auto"/>
        <w:ind w:right="189" w:rightChars="86" w:firstLine="480" w:firstLineChars="200"/>
        <w:rPr>
          <w:sz w:val="24"/>
          <w:szCs w:val="24"/>
        </w:rPr>
      </w:pPr>
      <w:r>
        <w:rPr>
          <w:rFonts w:hint="eastAsia"/>
          <w:sz w:val="24"/>
          <w:szCs w:val="24"/>
        </w:rPr>
        <w:t>本项目（</w:t>
      </w:r>
      <w:r>
        <w:rPr>
          <w:rFonts w:hint="eastAsia"/>
          <w:dstrike/>
          <w:sz w:val="24"/>
          <w:szCs w:val="24"/>
        </w:rPr>
        <w:t>是</w:t>
      </w:r>
      <w:r>
        <w:rPr>
          <w:rFonts w:hint="eastAsia"/>
          <w:sz w:val="24"/>
          <w:szCs w:val="24"/>
        </w:rPr>
        <w:t>/否）接受联合体。</w:t>
      </w:r>
    </w:p>
    <w:p>
      <w:pPr>
        <w:numPr>
          <w:ilvl w:val="0"/>
          <w:numId w:val="2"/>
        </w:numPr>
        <w:autoSpaceDE/>
        <w:autoSpaceDN/>
        <w:spacing w:line="360" w:lineRule="auto"/>
        <w:ind w:right="189" w:rightChars="86"/>
        <w:rPr>
          <w:b/>
          <w:bCs/>
          <w:sz w:val="24"/>
          <w:szCs w:val="24"/>
        </w:rPr>
      </w:pPr>
      <w:bookmarkStart w:id="6" w:name="_Toc28359090"/>
      <w:bookmarkStart w:id="7" w:name="_Toc35393630"/>
      <w:bookmarkStart w:id="8" w:name="_Toc17808"/>
      <w:bookmarkStart w:id="9" w:name="_Toc35393799"/>
      <w:bookmarkStart w:id="10" w:name="_Toc28359013"/>
      <w:r>
        <w:rPr>
          <w:rFonts w:hint="eastAsia"/>
          <w:b/>
          <w:bCs/>
          <w:sz w:val="24"/>
          <w:szCs w:val="24"/>
        </w:rPr>
        <w:t>申请人的资格要求：</w:t>
      </w:r>
      <w:bookmarkEnd w:id="6"/>
      <w:bookmarkEnd w:id="7"/>
      <w:bookmarkEnd w:id="8"/>
      <w:bookmarkEnd w:id="9"/>
      <w:bookmarkEnd w:id="10"/>
    </w:p>
    <w:p>
      <w:pPr>
        <w:pStyle w:val="35"/>
        <w:spacing w:before="18" w:line="360" w:lineRule="exact"/>
        <w:ind w:right="189" w:rightChars="86" w:firstLine="480" w:firstLineChars="200"/>
        <w:rPr>
          <w:sz w:val="24"/>
          <w:szCs w:val="24"/>
        </w:rPr>
      </w:pPr>
      <w:bookmarkStart w:id="11" w:name="_Toc35393800"/>
      <w:bookmarkStart w:id="12" w:name="_Toc35393631"/>
      <w:bookmarkStart w:id="13" w:name="_Toc28359014"/>
      <w:bookmarkStart w:id="14" w:name="_Toc28359091"/>
      <w:bookmarkStart w:id="15" w:name="_Toc6063"/>
      <w:r>
        <w:rPr>
          <w:rFonts w:hint="eastAsia"/>
          <w:sz w:val="24"/>
          <w:szCs w:val="24"/>
        </w:rPr>
        <w:t>1、满足《中华人民共和国政府采购法》第二十二条规定；（1）具有独立承担民事责任的能力：提供法人或其他组织的营业执照等证明文件，或自然人身份证明；在中国境内依法注册并具有有效独立法人资格；（2）具有良好的商业信誉和健全的财务会计制度：具体要求：</w:t>
      </w:r>
      <w:r>
        <w:rPr>
          <w:rFonts w:hint="eastAsia"/>
          <w:sz w:val="24"/>
          <w:szCs w:val="24"/>
          <w:lang w:val="en-US"/>
        </w:rPr>
        <w:t>提供2020年或2021年财务审计报告</w:t>
      </w:r>
      <w:r>
        <w:rPr>
          <w:rFonts w:hint="eastAsia"/>
          <w:sz w:val="24"/>
          <w:szCs w:val="24"/>
        </w:rPr>
        <w:t>（含财务报表）</w:t>
      </w:r>
      <w:r>
        <w:rPr>
          <w:rFonts w:hint="eastAsia"/>
          <w:sz w:val="24"/>
          <w:szCs w:val="24"/>
          <w:lang w:val="en-US"/>
        </w:rPr>
        <w:t>或自行承诺；</w:t>
      </w:r>
      <w:r>
        <w:rPr>
          <w:rFonts w:hint="eastAsia"/>
          <w:sz w:val="24"/>
          <w:szCs w:val="24"/>
        </w:rPr>
        <w:t>（</w:t>
      </w:r>
      <w:r>
        <w:rPr>
          <w:rFonts w:hint="eastAsia"/>
          <w:sz w:val="24"/>
          <w:szCs w:val="24"/>
          <w:lang w:val="en-US"/>
        </w:rPr>
        <w:t>3</w:t>
      </w:r>
      <w:r>
        <w:rPr>
          <w:rFonts w:hint="eastAsia"/>
          <w:sz w:val="24"/>
          <w:szCs w:val="24"/>
        </w:rPr>
        <w:t>）具有履行合同所必须的设备和专业技术能力：提供相关证明材料或自行承</w:t>
      </w:r>
      <w:r>
        <w:rPr>
          <w:rFonts w:hint="eastAsia"/>
          <w:sz w:val="24"/>
          <w:szCs w:val="24"/>
          <w:lang w:val="en-US"/>
        </w:rPr>
        <w:t>诺</w:t>
      </w:r>
      <w:r>
        <w:rPr>
          <w:rFonts w:hint="eastAsia"/>
          <w:sz w:val="24"/>
          <w:szCs w:val="24"/>
        </w:rPr>
        <w:t>；（</w:t>
      </w:r>
      <w:r>
        <w:rPr>
          <w:rFonts w:hint="eastAsia"/>
          <w:sz w:val="24"/>
          <w:szCs w:val="24"/>
          <w:lang w:val="en-US"/>
        </w:rPr>
        <w:t>4</w:t>
      </w:r>
      <w:r>
        <w:rPr>
          <w:rFonts w:hint="eastAsia"/>
          <w:sz w:val="24"/>
          <w:szCs w:val="24"/>
        </w:rPr>
        <w:t>）具有依法缴纳税收和社会保障资金的良好记录：具体要求：近3个月的缴纳税收和社会保障资金的相关材料或自行承诺；（</w:t>
      </w:r>
      <w:r>
        <w:rPr>
          <w:rFonts w:hint="eastAsia"/>
          <w:sz w:val="24"/>
          <w:szCs w:val="24"/>
          <w:lang w:val="en-US"/>
        </w:rPr>
        <w:t>5</w:t>
      </w:r>
      <w:r>
        <w:rPr>
          <w:rFonts w:hint="eastAsia"/>
          <w:sz w:val="24"/>
          <w:szCs w:val="24"/>
        </w:rPr>
        <w:t>）参加本次采购活动前三年内，在经营活动中没有违法违规记录：提供参加采购活动前3年内在经营活动中没有重大违法记录的书面声明（格式自拟）；（</w:t>
      </w:r>
      <w:r>
        <w:rPr>
          <w:rFonts w:hint="eastAsia"/>
          <w:sz w:val="24"/>
          <w:szCs w:val="24"/>
          <w:lang w:val="en-US"/>
        </w:rPr>
        <w:t>6</w:t>
      </w:r>
      <w:r>
        <w:rPr>
          <w:rFonts w:hint="eastAsia"/>
          <w:sz w:val="24"/>
          <w:szCs w:val="24"/>
        </w:rPr>
        <w:t>）法律、行政法规规定的其他条件：提供“信用中国”网站和中国政府采购网未被列入失信被执行人、重大税收违法案件当事人名单、政府采购严重违法失信行为记录名单的网页截图</w:t>
      </w:r>
      <w:r>
        <w:rPr>
          <w:rFonts w:hint="eastAsia"/>
          <w:sz w:val="24"/>
          <w:szCs w:val="24"/>
          <w:lang w:val="en-US"/>
        </w:rPr>
        <w:t>。</w:t>
      </w:r>
    </w:p>
    <w:p>
      <w:pPr>
        <w:pStyle w:val="35"/>
        <w:spacing w:before="18" w:line="360" w:lineRule="exact"/>
        <w:ind w:right="189" w:rightChars="86" w:firstLine="480" w:firstLineChars="200"/>
        <w:rPr>
          <w:sz w:val="24"/>
          <w:szCs w:val="24"/>
        </w:rPr>
      </w:pPr>
      <w:r>
        <w:rPr>
          <w:rFonts w:hint="eastAsia"/>
          <w:sz w:val="24"/>
          <w:szCs w:val="24"/>
        </w:rPr>
        <w:t>2、落实政府采购政策需满足的资格要求：（1）对小、微型(含监狱企业/残疾人福利性单位)产品的价格给予</w:t>
      </w:r>
      <w:r>
        <w:rPr>
          <w:rFonts w:hint="eastAsia"/>
          <w:sz w:val="24"/>
          <w:szCs w:val="24"/>
          <w:lang w:val="en-US"/>
        </w:rPr>
        <w:t>2</w:t>
      </w:r>
      <w:r>
        <w:rPr>
          <w:rFonts w:hint="eastAsia"/>
          <w:sz w:val="24"/>
          <w:szCs w:val="24"/>
        </w:rPr>
        <w:t>0%的扣除，用扣除后的价格参与评审，但须提供中小企业声明函，严格按照（财库[2022]19号）《财政部关于进一步加大政府采购支持中小企业力度的通知》执行。提供的声明函必须真实，如有虚假，将依法承担相应责任；符合条件的残疾人福利性单位在参加政府采购活动时，应当提供财库【2017】141号规定的《残疾人福利性单位声明函》，提供的声明函必须真实，如有虚假，将依法承担相应责任。（2）对原产地在少数民族自治区和享受少数民族自治待遇的省份（云南、贵州、青海）的投标主产品（不含附带产品），在总得分基础上加3分。投标主产品按照不得低于本采购项目预算金额50%加以确定。（3）投标产品属于“节能产品清单”或“环保产品清单”有效期内中的产品（强制采购产品除外），在总得分基础上，每一项加0.3分；如投标产品同时属于“节能产品清单”和“环保产品清单”两个清单中产品的，每一项加0.5分，最高不得超过2分（须提供列入品目清单的产品类别（可在中国政府采购网www.ccgp.gov.cn 查询）。（如属于专门面向中小企业采购的项目,供应商应为中小微企业、监狱企业、残疾人福利性单位)。</w:t>
      </w:r>
    </w:p>
    <w:p>
      <w:pPr>
        <w:pStyle w:val="35"/>
        <w:spacing w:before="18" w:line="360" w:lineRule="exact"/>
        <w:ind w:right="189" w:rightChars="86" w:firstLine="480" w:firstLineChars="200"/>
        <w:rPr>
          <w:b/>
          <w:sz w:val="24"/>
          <w:szCs w:val="24"/>
          <w:lang w:val="en-US"/>
        </w:rPr>
      </w:pPr>
      <w:r>
        <w:rPr>
          <w:sz w:val="24"/>
          <w:szCs w:val="24"/>
        </w:rPr>
        <w:t>3</w:t>
      </w:r>
      <w:r>
        <w:rPr>
          <w:rFonts w:hint="eastAsia"/>
          <w:sz w:val="24"/>
          <w:szCs w:val="24"/>
        </w:rPr>
        <w:t>、</w:t>
      </w:r>
      <w:r>
        <w:rPr>
          <w:sz w:val="24"/>
          <w:szCs w:val="24"/>
        </w:rPr>
        <w:t>本项目的特定资格要求：</w:t>
      </w:r>
      <w:r>
        <w:rPr>
          <w:rFonts w:hint="eastAsia"/>
          <w:sz w:val="24"/>
          <w:szCs w:val="24"/>
          <w:lang w:val="en-US"/>
        </w:rPr>
        <w:t xml:space="preserve">无 </w:t>
      </w:r>
      <w:r>
        <w:rPr>
          <w:rFonts w:ascii="Arial" w:hAnsi="Arial" w:cs="Arial"/>
          <w:color w:val="333333"/>
          <w:sz w:val="24"/>
          <w:szCs w:val="24"/>
          <w:shd w:val="clear" w:color="auto" w:fill="FFFFFF"/>
        </w:rPr>
        <w:t>。</w:t>
      </w:r>
    </w:p>
    <w:p>
      <w:pPr>
        <w:autoSpaceDE/>
        <w:autoSpaceDN/>
        <w:spacing w:line="360" w:lineRule="auto"/>
        <w:ind w:right="189" w:rightChars="86" w:firstLine="482" w:firstLineChars="200"/>
        <w:rPr>
          <w:b/>
          <w:bCs/>
          <w:sz w:val="24"/>
          <w:szCs w:val="24"/>
        </w:rPr>
      </w:pPr>
      <w:r>
        <w:rPr>
          <w:rFonts w:hint="eastAsia"/>
          <w:b/>
          <w:bCs/>
          <w:sz w:val="24"/>
          <w:szCs w:val="24"/>
        </w:rPr>
        <w:t>三、获取</w:t>
      </w:r>
      <w:r>
        <w:rPr>
          <w:rFonts w:hint="eastAsia"/>
          <w:b/>
          <w:bCs/>
          <w:sz w:val="24"/>
          <w:szCs w:val="24"/>
          <w:lang w:val="en-US"/>
        </w:rPr>
        <w:t>招标</w:t>
      </w:r>
      <w:r>
        <w:rPr>
          <w:rFonts w:hint="eastAsia"/>
          <w:b/>
          <w:bCs/>
          <w:sz w:val="24"/>
          <w:szCs w:val="24"/>
        </w:rPr>
        <w:t>文件</w:t>
      </w:r>
      <w:bookmarkEnd w:id="11"/>
      <w:bookmarkEnd w:id="12"/>
      <w:bookmarkEnd w:id="13"/>
      <w:bookmarkEnd w:id="14"/>
      <w:bookmarkEnd w:id="15"/>
    </w:p>
    <w:p>
      <w:pPr>
        <w:spacing w:line="360" w:lineRule="auto"/>
        <w:ind w:firstLine="540"/>
        <w:rPr>
          <w:rFonts w:asciiTheme="minorEastAsia" w:hAnsiTheme="minorEastAsia" w:eastAsiaTheme="minorEastAsia" w:cstheme="minorEastAsia"/>
          <w:sz w:val="24"/>
          <w:szCs w:val="24"/>
        </w:rPr>
      </w:pPr>
      <w:bookmarkStart w:id="16" w:name="_Toc28359015"/>
      <w:bookmarkStart w:id="17" w:name="_Toc35393801"/>
      <w:bookmarkStart w:id="18" w:name="_Toc9788"/>
      <w:bookmarkStart w:id="19" w:name="_Toc28359092"/>
      <w:bookmarkStart w:id="20" w:name="_Toc35393632"/>
      <w:r>
        <w:rPr>
          <w:rFonts w:hint="eastAsia" w:asciiTheme="minorEastAsia" w:hAnsiTheme="minorEastAsia" w:eastAsiaTheme="minorEastAsia" w:cstheme="minorEastAsia"/>
          <w:sz w:val="24"/>
          <w:szCs w:val="24"/>
        </w:rPr>
        <w:t>时间：</w:t>
      </w:r>
      <w:r>
        <w:rPr>
          <w:rFonts w:hint="eastAsia" w:asciiTheme="minorEastAsia" w:hAnsiTheme="minorEastAsia" w:eastAsiaTheme="minorEastAsia" w:cstheme="minorEastAsia"/>
          <w:sz w:val="24"/>
          <w:szCs w:val="24"/>
          <w:u w:val="single"/>
          <w:lang w:val="en-US" w:eastAsia="zh-CN"/>
        </w:rPr>
        <w:t>2022</w:t>
      </w:r>
      <w:r>
        <w:rPr>
          <w:rFonts w:hint="eastAsia" w:asciiTheme="minorEastAsia" w:hAnsiTheme="minorEastAsia" w:eastAsiaTheme="minorEastAsia" w:cstheme="minorEastAsia"/>
          <w:sz w:val="24"/>
          <w:szCs w:val="24"/>
          <w:u w:val="single"/>
        </w:rPr>
        <w:t>年</w:t>
      </w:r>
      <w:r>
        <w:rPr>
          <w:rFonts w:hint="eastAsia" w:asciiTheme="minorEastAsia" w:hAnsiTheme="minorEastAsia" w:eastAsiaTheme="minorEastAsia" w:cstheme="minorEastAsia"/>
          <w:sz w:val="24"/>
          <w:szCs w:val="24"/>
          <w:u w:val="single"/>
          <w:lang w:val="en-US" w:eastAsia="zh-CN"/>
        </w:rPr>
        <w:t>10</w:t>
      </w:r>
      <w:r>
        <w:rPr>
          <w:rFonts w:hint="eastAsia" w:asciiTheme="minorEastAsia" w:hAnsiTheme="minorEastAsia" w:eastAsiaTheme="minorEastAsia" w:cstheme="minorEastAsia"/>
          <w:sz w:val="24"/>
          <w:szCs w:val="24"/>
          <w:u w:val="single"/>
        </w:rPr>
        <w:t>月</w:t>
      </w:r>
      <w:r>
        <w:rPr>
          <w:rFonts w:hint="eastAsia" w:asciiTheme="minorEastAsia" w:hAnsiTheme="minorEastAsia" w:eastAsiaTheme="minorEastAsia" w:cstheme="minorEastAsia"/>
          <w:sz w:val="24"/>
          <w:szCs w:val="24"/>
          <w:u w:val="single"/>
          <w:lang w:val="en-US" w:eastAsia="zh-CN"/>
        </w:rPr>
        <w:t>19</w:t>
      </w:r>
      <w:r>
        <w:rPr>
          <w:rFonts w:hint="eastAsia" w:asciiTheme="minorEastAsia" w:hAnsiTheme="minorEastAsia" w:eastAsiaTheme="minorEastAsia" w:cstheme="minorEastAsia"/>
          <w:sz w:val="24"/>
          <w:szCs w:val="24"/>
          <w:u w:val="single"/>
        </w:rPr>
        <w:t>日</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u w:val="single"/>
          <w:lang w:val="en-US"/>
        </w:rPr>
        <w:t xml:space="preserve"> </w:t>
      </w:r>
      <w:r>
        <w:rPr>
          <w:rFonts w:hint="eastAsia" w:asciiTheme="minorEastAsia" w:hAnsiTheme="minorEastAsia" w:eastAsiaTheme="minorEastAsia" w:cstheme="minorEastAsia"/>
          <w:sz w:val="24"/>
          <w:szCs w:val="24"/>
          <w:u w:val="single"/>
          <w:lang w:val="en-US" w:eastAsia="zh-CN"/>
        </w:rPr>
        <w:t>2022</w:t>
      </w:r>
      <w:r>
        <w:rPr>
          <w:rFonts w:hint="eastAsia" w:asciiTheme="minorEastAsia" w:hAnsiTheme="minorEastAsia" w:eastAsiaTheme="minorEastAsia" w:cstheme="minorEastAsia"/>
          <w:sz w:val="24"/>
          <w:szCs w:val="24"/>
          <w:u w:val="single"/>
        </w:rPr>
        <w:t>年</w:t>
      </w:r>
      <w:r>
        <w:rPr>
          <w:rFonts w:hint="eastAsia" w:asciiTheme="minorEastAsia" w:hAnsiTheme="minorEastAsia" w:eastAsiaTheme="minorEastAsia" w:cstheme="minorEastAsia"/>
          <w:sz w:val="24"/>
          <w:szCs w:val="24"/>
          <w:u w:val="single"/>
          <w:lang w:val="en-US" w:eastAsia="zh-CN"/>
        </w:rPr>
        <w:t>10</w:t>
      </w:r>
      <w:r>
        <w:rPr>
          <w:rFonts w:hint="eastAsia" w:asciiTheme="minorEastAsia" w:hAnsiTheme="minorEastAsia" w:eastAsiaTheme="minorEastAsia" w:cstheme="minorEastAsia"/>
          <w:sz w:val="24"/>
          <w:szCs w:val="24"/>
          <w:u w:val="single"/>
        </w:rPr>
        <w:t>月</w:t>
      </w:r>
      <w:r>
        <w:rPr>
          <w:rFonts w:hint="eastAsia" w:asciiTheme="minorEastAsia" w:hAnsiTheme="minorEastAsia" w:eastAsiaTheme="minorEastAsia" w:cstheme="minorEastAsia"/>
          <w:sz w:val="24"/>
          <w:szCs w:val="24"/>
          <w:u w:val="single"/>
          <w:lang w:val="en-US" w:eastAsia="zh-CN"/>
        </w:rPr>
        <w:t>28</w:t>
      </w:r>
      <w:r>
        <w:rPr>
          <w:rFonts w:hint="eastAsia" w:asciiTheme="minorEastAsia" w:hAnsiTheme="minorEastAsia" w:eastAsiaTheme="minorEastAsia" w:cstheme="minorEastAsia"/>
          <w:sz w:val="24"/>
          <w:szCs w:val="24"/>
          <w:u w:val="single"/>
        </w:rPr>
        <w:t>日（</w:t>
      </w:r>
      <w:r>
        <w:rPr>
          <w:rFonts w:hint="eastAsia" w:asciiTheme="minorEastAsia" w:hAnsiTheme="minorEastAsia" w:eastAsiaTheme="minorEastAsia" w:cstheme="minorEastAsia"/>
          <w:sz w:val="24"/>
          <w:szCs w:val="24"/>
          <w:u w:val="single"/>
          <w:lang w:eastAsia="zh-CN"/>
        </w:rPr>
        <w:t>招标</w:t>
      </w:r>
      <w:r>
        <w:rPr>
          <w:rFonts w:hint="eastAsia" w:asciiTheme="minorEastAsia" w:hAnsiTheme="minorEastAsia" w:eastAsiaTheme="minorEastAsia" w:cstheme="minorEastAsia"/>
          <w:sz w:val="24"/>
          <w:szCs w:val="24"/>
          <w:u w:val="single"/>
        </w:rPr>
        <w:t>文件的发售期限自开始之日起不得少于5个工作日）</w:t>
      </w:r>
      <w:r>
        <w:rPr>
          <w:rFonts w:hint="eastAsia" w:asciiTheme="minorEastAsia" w:hAnsiTheme="minorEastAsia" w:eastAsiaTheme="minorEastAsia" w:cstheme="minorEastAsia"/>
          <w:sz w:val="24"/>
          <w:szCs w:val="24"/>
        </w:rPr>
        <w:t>，每天上午</w:t>
      </w:r>
      <w:r>
        <w:rPr>
          <w:rFonts w:hint="eastAsia" w:asciiTheme="minorEastAsia" w:hAnsiTheme="minorEastAsia" w:eastAsiaTheme="minorEastAsia" w:cstheme="minorEastAsia"/>
          <w:sz w:val="24"/>
          <w:szCs w:val="24"/>
          <w:u w:val="single"/>
        </w:rPr>
        <w:t>9:00</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u w:val="single"/>
        </w:rPr>
        <w:t>12:00</w:t>
      </w:r>
      <w:r>
        <w:rPr>
          <w:rFonts w:hint="eastAsia" w:asciiTheme="minorEastAsia" w:hAnsiTheme="minorEastAsia" w:eastAsiaTheme="minorEastAsia" w:cstheme="minorEastAsia"/>
          <w:sz w:val="24"/>
          <w:szCs w:val="24"/>
        </w:rPr>
        <w:t>，下午</w:t>
      </w:r>
      <w:r>
        <w:rPr>
          <w:rFonts w:hint="eastAsia" w:asciiTheme="minorEastAsia" w:hAnsiTheme="minorEastAsia" w:eastAsiaTheme="minorEastAsia" w:cstheme="minorEastAsia"/>
          <w:sz w:val="24"/>
          <w:szCs w:val="24"/>
          <w:u w:val="single"/>
        </w:rPr>
        <w:t>14:00</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u w:val="single"/>
        </w:rPr>
        <w:t>17:00</w:t>
      </w:r>
      <w:r>
        <w:rPr>
          <w:rFonts w:hint="eastAsia" w:asciiTheme="minorEastAsia" w:hAnsiTheme="minorEastAsia" w:eastAsiaTheme="minorEastAsia" w:cstheme="minorEastAsia"/>
          <w:sz w:val="24"/>
          <w:szCs w:val="24"/>
        </w:rPr>
        <w:t>（北京时间，法定节假日除外 ）。</w:t>
      </w:r>
    </w:p>
    <w:p>
      <w:pPr>
        <w:wordWrap w:val="0"/>
        <w:autoSpaceDE/>
        <w:autoSpaceDN/>
        <w:spacing w:line="360" w:lineRule="auto"/>
        <w:ind w:firstLine="539"/>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地点：遵义市公共资源交易中心（遵义市新蒲新区播州大道东 100 米,遵义市政务服务中心大楼9 楼）网址：全国公共资源交易平台（贵州省·遵义市）电子交易服务系统。 http://220.197.200.182:88/ZYHY或省平台https://ggzy.guizhou.gov.cn/hallweb/#/login。</w:t>
      </w:r>
    </w:p>
    <w:p>
      <w:pPr>
        <w:wordWrap w:val="0"/>
        <w:autoSpaceDE/>
        <w:autoSpaceDN/>
        <w:spacing w:line="360" w:lineRule="auto"/>
        <w:ind w:firstLine="539"/>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方式：遵义市公共资源交易中心（遵义市新蒲新区播州大道东 100 米,遵义市政务服务中心大楼9 楼）网址：全国公共资源交易平台（贵州省·遵义市）电子交易服务系统。 http://220.197.200.182:88/ZYHY或省平台https://ggzy.guizhou.gov.cn/hallweb/#/login。</w:t>
      </w:r>
    </w:p>
    <w:p>
      <w:pPr>
        <w:spacing w:line="360" w:lineRule="auto"/>
        <w:ind w:firstLine="54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售价：0元</w:t>
      </w:r>
    </w:p>
    <w:p>
      <w:pPr>
        <w:autoSpaceDE/>
        <w:autoSpaceDN/>
        <w:spacing w:line="360" w:lineRule="auto"/>
        <w:ind w:right="189" w:rightChars="86"/>
        <w:rPr>
          <w:b/>
          <w:bCs/>
          <w:sz w:val="24"/>
          <w:szCs w:val="24"/>
        </w:rPr>
      </w:pPr>
      <w:r>
        <w:rPr>
          <w:rFonts w:hint="eastAsia"/>
          <w:b/>
          <w:bCs/>
          <w:sz w:val="24"/>
          <w:szCs w:val="24"/>
        </w:rPr>
        <w:t>四、</w:t>
      </w:r>
      <w:bookmarkEnd w:id="16"/>
      <w:bookmarkEnd w:id="17"/>
      <w:bookmarkEnd w:id="18"/>
      <w:bookmarkEnd w:id="19"/>
      <w:bookmarkEnd w:id="20"/>
      <w:r>
        <w:rPr>
          <w:rFonts w:hint="eastAsia"/>
          <w:b/>
          <w:bCs/>
          <w:sz w:val="24"/>
          <w:szCs w:val="24"/>
        </w:rPr>
        <w:t>提交投标文件截止时间、开标时间和地点</w:t>
      </w:r>
    </w:p>
    <w:p>
      <w:pPr>
        <w:autoSpaceDE/>
        <w:autoSpaceDN/>
        <w:spacing w:line="360" w:lineRule="auto"/>
        <w:ind w:right="189" w:rightChars="86" w:firstLine="480" w:firstLineChars="200"/>
        <w:rPr>
          <w:bCs/>
          <w:sz w:val="24"/>
          <w:szCs w:val="24"/>
          <w:u w:val="single"/>
        </w:rPr>
      </w:pPr>
      <w:r>
        <w:rPr>
          <w:rFonts w:hint="eastAsia"/>
          <w:sz w:val="24"/>
          <w:szCs w:val="24"/>
          <w:lang w:val="en-US"/>
        </w:rPr>
        <w:t>1.</w:t>
      </w:r>
      <w:r>
        <w:rPr>
          <w:rFonts w:hint="eastAsia"/>
          <w:sz w:val="24"/>
          <w:szCs w:val="24"/>
        </w:rPr>
        <w:t>截止时间：</w:t>
      </w:r>
      <w:r>
        <w:rPr>
          <w:rFonts w:hint="eastAsia"/>
          <w:sz w:val="24"/>
          <w:szCs w:val="24"/>
          <w:u w:val="single"/>
          <w:lang w:val="en-US"/>
        </w:rPr>
        <w:t>2022</w:t>
      </w:r>
      <w:r>
        <w:rPr>
          <w:rFonts w:hint="eastAsia"/>
          <w:bCs/>
          <w:sz w:val="24"/>
          <w:szCs w:val="24"/>
          <w:u w:val="single"/>
        </w:rPr>
        <w:t>年</w:t>
      </w:r>
      <w:r>
        <w:rPr>
          <w:rFonts w:hint="eastAsia"/>
          <w:bCs/>
          <w:sz w:val="24"/>
          <w:szCs w:val="24"/>
          <w:u w:val="single"/>
          <w:lang w:val="en-US" w:eastAsia="zh-CN"/>
        </w:rPr>
        <w:t>11</w:t>
      </w:r>
      <w:r>
        <w:rPr>
          <w:rFonts w:hint="eastAsia"/>
          <w:bCs/>
          <w:sz w:val="24"/>
          <w:szCs w:val="24"/>
          <w:u w:val="single"/>
        </w:rPr>
        <w:t>月</w:t>
      </w:r>
      <w:r>
        <w:rPr>
          <w:rFonts w:hint="eastAsia"/>
          <w:bCs/>
          <w:sz w:val="24"/>
          <w:szCs w:val="24"/>
          <w:u w:val="single"/>
          <w:lang w:val="en-US" w:eastAsia="zh-CN"/>
        </w:rPr>
        <w:t>09</w:t>
      </w:r>
      <w:r>
        <w:rPr>
          <w:rFonts w:hint="eastAsia"/>
          <w:bCs/>
          <w:sz w:val="24"/>
          <w:szCs w:val="24"/>
          <w:u w:val="single"/>
        </w:rPr>
        <w:t>日</w:t>
      </w:r>
      <w:r>
        <w:rPr>
          <w:rFonts w:hint="eastAsia"/>
          <w:bCs/>
          <w:sz w:val="24"/>
          <w:szCs w:val="24"/>
          <w:u w:val="single"/>
          <w:lang w:val="en-US" w:eastAsia="zh-CN"/>
        </w:rPr>
        <w:t>13</w:t>
      </w:r>
      <w:r>
        <w:rPr>
          <w:rFonts w:hint="eastAsia"/>
          <w:bCs/>
          <w:sz w:val="24"/>
          <w:szCs w:val="24"/>
          <w:u w:val="single"/>
        </w:rPr>
        <w:t>点</w:t>
      </w:r>
      <w:r>
        <w:rPr>
          <w:rFonts w:hint="eastAsia"/>
          <w:bCs/>
          <w:sz w:val="24"/>
          <w:szCs w:val="24"/>
          <w:u w:val="single"/>
          <w:lang w:val="en-US" w:eastAsia="zh-CN"/>
        </w:rPr>
        <w:t>30</w:t>
      </w:r>
      <w:r>
        <w:rPr>
          <w:rFonts w:hint="eastAsia"/>
          <w:bCs/>
          <w:sz w:val="24"/>
          <w:szCs w:val="24"/>
          <w:u w:val="single"/>
          <w:lang w:val="en-US"/>
        </w:rPr>
        <w:t xml:space="preserve"> </w:t>
      </w:r>
      <w:r>
        <w:rPr>
          <w:rFonts w:hint="eastAsia"/>
          <w:bCs/>
          <w:sz w:val="24"/>
          <w:szCs w:val="24"/>
          <w:u w:val="single"/>
        </w:rPr>
        <w:t>分</w:t>
      </w:r>
      <w:r>
        <w:rPr>
          <w:rFonts w:hint="eastAsia"/>
          <w:bCs/>
          <w:sz w:val="24"/>
          <w:szCs w:val="24"/>
        </w:rPr>
        <w:t>（北京时间）</w:t>
      </w:r>
      <w:r>
        <w:rPr>
          <w:rFonts w:hint="eastAsia"/>
          <w:sz w:val="24"/>
          <w:szCs w:val="24"/>
        </w:rPr>
        <w:t>（从招标文件开始发出之日起至供应商提交首次响应文件截止之日止不得少于</w:t>
      </w:r>
      <w:r>
        <w:rPr>
          <w:rFonts w:hint="eastAsia"/>
          <w:sz w:val="24"/>
          <w:szCs w:val="24"/>
          <w:lang w:val="en-US"/>
        </w:rPr>
        <w:t>20</w:t>
      </w:r>
      <w:r>
        <w:rPr>
          <w:rFonts w:hint="eastAsia"/>
          <w:sz w:val="24"/>
          <w:szCs w:val="24"/>
        </w:rPr>
        <w:t>日）。</w:t>
      </w:r>
    </w:p>
    <w:p>
      <w:pPr>
        <w:autoSpaceDE/>
        <w:autoSpaceDN/>
        <w:spacing w:line="360" w:lineRule="auto"/>
        <w:ind w:right="189" w:rightChars="86" w:firstLine="480" w:firstLineChars="200"/>
        <w:rPr>
          <w:sz w:val="24"/>
          <w:szCs w:val="24"/>
          <w:u w:val="single"/>
        </w:rPr>
      </w:pPr>
      <w:bookmarkStart w:id="21" w:name="_Toc35393634"/>
      <w:bookmarkStart w:id="22" w:name="_Toc28359094"/>
      <w:bookmarkStart w:id="23" w:name="_Toc35393803"/>
      <w:bookmarkStart w:id="24" w:name="_Toc28359017"/>
      <w:bookmarkStart w:id="25" w:name="_Toc8660"/>
      <w:r>
        <w:rPr>
          <w:rFonts w:hint="eastAsia"/>
          <w:sz w:val="24"/>
          <w:szCs w:val="24"/>
        </w:rPr>
        <w:t>2.开标时间：</w:t>
      </w:r>
      <w:r>
        <w:rPr>
          <w:rFonts w:hint="eastAsia"/>
          <w:sz w:val="24"/>
          <w:szCs w:val="24"/>
          <w:u w:val="single"/>
        </w:rPr>
        <w:t>2022年</w:t>
      </w:r>
      <w:r>
        <w:rPr>
          <w:rFonts w:hint="eastAsia"/>
          <w:sz w:val="24"/>
          <w:szCs w:val="24"/>
          <w:u w:val="single"/>
          <w:lang w:val="en-US" w:eastAsia="zh-CN"/>
        </w:rPr>
        <w:t>11</w:t>
      </w:r>
      <w:r>
        <w:rPr>
          <w:rFonts w:hint="eastAsia"/>
          <w:sz w:val="24"/>
          <w:szCs w:val="24"/>
          <w:u w:val="single"/>
        </w:rPr>
        <w:t>月</w:t>
      </w:r>
      <w:r>
        <w:rPr>
          <w:rFonts w:hint="eastAsia"/>
          <w:sz w:val="24"/>
          <w:szCs w:val="24"/>
          <w:u w:val="single"/>
          <w:lang w:val="en-US" w:eastAsia="zh-CN"/>
        </w:rPr>
        <w:t>09</w:t>
      </w:r>
      <w:r>
        <w:rPr>
          <w:rFonts w:hint="eastAsia"/>
          <w:sz w:val="24"/>
          <w:szCs w:val="24"/>
          <w:u w:val="single"/>
        </w:rPr>
        <w:t>日</w:t>
      </w:r>
      <w:r>
        <w:rPr>
          <w:rFonts w:hint="eastAsia"/>
          <w:sz w:val="24"/>
          <w:szCs w:val="24"/>
          <w:u w:val="single"/>
          <w:lang w:val="en-US" w:eastAsia="zh-CN"/>
        </w:rPr>
        <w:t>13</w:t>
      </w:r>
      <w:r>
        <w:rPr>
          <w:rFonts w:hint="eastAsia"/>
          <w:sz w:val="24"/>
          <w:szCs w:val="24"/>
          <w:u w:val="single"/>
          <w:lang w:val="en-US"/>
        </w:rPr>
        <w:t xml:space="preserve"> </w:t>
      </w:r>
      <w:r>
        <w:rPr>
          <w:rFonts w:hint="eastAsia"/>
          <w:sz w:val="24"/>
          <w:szCs w:val="24"/>
          <w:u w:val="single"/>
        </w:rPr>
        <w:t>时</w:t>
      </w:r>
      <w:r>
        <w:rPr>
          <w:rFonts w:hint="eastAsia"/>
          <w:sz w:val="24"/>
          <w:szCs w:val="24"/>
          <w:u w:val="single"/>
          <w:lang w:val="en-US" w:eastAsia="zh-CN"/>
        </w:rPr>
        <w:t>30</w:t>
      </w:r>
      <w:r>
        <w:rPr>
          <w:rFonts w:hint="eastAsia"/>
          <w:sz w:val="24"/>
          <w:szCs w:val="24"/>
          <w:u w:val="single"/>
        </w:rPr>
        <w:t>分</w:t>
      </w:r>
    </w:p>
    <w:p>
      <w:pPr>
        <w:autoSpaceDE/>
        <w:autoSpaceDN/>
        <w:spacing w:line="360" w:lineRule="auto"/>
        <w:ind w:right="189" w:rightChars="86" w:firstLine="480" w:firstLineChars="200"/>
        <w:rPr>
          <w:sz w:val="24"/>
          <w:szCs w:val="24"/>
        </w:rPr>
      </w:pPr>
      <w:bookmarkStart w:id="26" w:name="_Toc2961"/>
      <w:r>
        <w:rPr>
          <w:rFonts w:hint="eastAsia"/>
          <w:sz w:val="24"/>
          <w:szCs w:val="24"/>
        </w:rPr>
        <w:t>3.投标文件递交地点：遵义市公共资源交易中心（遵义市汇川区播州大道东100米,遵义市政务服务中心大楼9楼）网址：</w:t>
      </w:r>
      <w:bookmarkEnd w:id="26"/>
      <w:r>
        <w:rPr>
          <w:rFonts w:hint="eastAsia"/>
          <w:sz w:val="24"/>
          <w:szCs w:val="24"/>
        </w:rPr>
        <w:t>全国公共资源交易平台（贵州省.遵义市）会员系统。</w:t>
      </w:r>
    </w:p>
    <w:p>
      <w:pPr>
        <w:autoSpaceDE/>
        <w:autoSpaceDN/>
        <w:spacing w:line="360" w:lineRule="auto"/>
        <w:ind w:right="189" w:rightChars="86"/>
        <w:rPr>
          <w:b/>
          <w:bCs/>
          <w:sz w:val="24"/>
          <w:szCs w:val="24"/>
        </w:rPr>
      </w:pPr>
      <w:r>
        <w:rPr>
          <w:rFonts w:hint="eastAsia"/>
          <w:b/>
          <w:bCs/>
          <w:sz w:val="24"/>
          <w:szCs w:val="24"/>
          <w:lang w:val="en-US"/>
        </w:rPr>
        <w:t>五</w:t>
      </w:r>
      <w:r>
        <w:rPr>
          <w:rFonts w:hint="eastAsia"/>
          <w:b/>
          <w:bCs/>
          <w:sz w:val="24"/>
          <w:szCs w:val="24"/>
        </w:rPr>
        <w:t>、公告期限</w:t>
      </w:r>
      <w:bookmarkEnd w:id="21"/>
      <w:bookmarkEnd w:id="22"/>
      <w:bookmarkEnd w:id="23"/>
      <w:bookmarkEnd w:id="24"/>
      <w:bookmarkEnd w:id="25"/>
    </w:p>
    <w:p>
      <w:pPr>
        <w:autoSpaceDE/>
        <w:autoSpaceDN/>
        <w:spacing w:line="360" w:lineRule="auto"/>
        <w:ind w:right="189" w:rightChars="86" w:firstLine="480" w:firstLineChars="200"/>
        <w:rPr>
          <w:sz w:val="24"/>
          <w:szCs w:val="24"/>
        </w:rPr>
      </w:pPr>
      <w:r>
        <w:rPr>
          <w:rFonts w:hint="eastAsia"/>
          <w:sz w:val="24"/>
          <w:szCs w:val="24"/>
        </w:rPr>
        <w:t>自本公告发布之日起</w:t>
      </w:r>
      <w:r>
        <w:rPr>
          <w:rFonts w:hint="eastAsia"/>
          <w:sz w:val="24"/>
          <w:szCs w:val="24"/>
          <w:lang w:val="en-US"/>
        </w:rPr>
        <w:t>5</w:t>
      </w:r>
      <w:r>
        <w:rPr>
          <w:rFonts w:hint="eastAsia"/>
          <w:sz w:val="24"/>
          <w:szCs w:val="24"/>
        </w:rPr>
        <w:t>个工作日。</w:t>
      </w:r>
    </w:p>
    <w:p>
      <w:pPr>
        <w:autoSpaceDE/>
        <w:autoSpaceDN/>
        <w:spacing w:line="360" w:lineRule="auto"/>
        <w:ind w:right="189" w:rightChars="86"/>
        <w:rPr>
          <w:b/>
          <w:bCs/>
          <w:sz w:val="24"/>
          <w:szCs w:val="24"/>
          <w:lang w:val="en-US"/>
        </w:rPr>
      </w:pPr>
      <w:bookmarkStart w:id="27" w:name="_Toc35393635"/>
      <w:bookmarkStart w:id="28" w:name="_Toc14238"/>
      <w:bookmarkStart w:id="29" w:name="_Toc35393804"/>
      <w:r>
        <w:rPr>
          <w:rFonts w:hint="eastAsia"/>
          <w:b/>
          <w:bCs/>
          <w:sz w:val="24"/>
          <w:szCs w:val="24"/>
          <w:lang w:val="en-US"/>
        </w:rPr>
        <w:t>六、其他补充事宜</w:t>
      </w:r>
      <w:bookmarkEnd w:id="27"/>
      <w:bookmarkEnd w:id="28"/>
      <w:bookmarkEnd w:id="29"/>
    </w:p>
    <w:p>
      <w:pPr>
        <w:autoSpaceDE/>
        <w:autoSpaceDN/>
        <w:spacing w:line="360" w:lineRule="auto"/>
        <w:ind w:right="189" w:rightChars="86" w:firstLine="480" w:firstLineChars="200"/>
        <w:rPr>
          <w:sz w:val="24"/>
          <w:szCs w:val="24"/>
          <w:lang w:val="en-US"/>
        </w:rPr>
      </w:pPr>
      <w:bookmarkStart w:id="30" w:name="_Toc28359018"/>
      <w:bookmarkStart w:id="31" w:name="_Toc28359095"/>
      <w:bookmarkStart w:id="32" w:name="_Toc35393636"/>
      <w:bookmarkStart w:id="33" w:name="_Toc35393805"/>
      <w:r>
        <w:rPr>
          <w:rFonts w:hint="eastAsia"/>
          <w:sz w:val="24"/>
          <w:szCs w:val="24"/>
          <w:lang w:val="en-US"/>
        </w:rPr>
        <w:t>投标保证金情况</w:t>
      </w:r>
    </w:p>
    <w:p>
      <w:pPr>
        <w:autoSpaceDE/>
        <w:autoSpaceDN/>
        <w:spacing w:line="360" w:lineRule="auto"/>
        <w:ind w:right="189" w:rightChars="86" w:firstLine="480" w:firstLineChars="200"/>
        <w:rPr>
          <w:sz w:val="24"/>
          <w:szCs w:val="24"/>
          <w:lang w:val="en-US"/>
        </w:rPr>
      </w:pPr>
      <w:r>
        <w:rPr>
          <w:rFonts w:hint="eastAsia"/>
          <w:sz w:val="24"/>
          <w:szCs w:val="24"/>
          <w:lang w:val="en-US"/>
        </w:rPr>
        <w:t>1.保证金额（元）</w:t>
      </w:r>
      <w:r>
        <w:rPr>
          <w:rFonts w:hint="eastAsia"/>
          <w:sz w:val="24"/>
          <w:szCs w:val="24"/>
          <w:u w:val="single"/>
          <w:lang w:val="en-US"/>
        </w:rPr>
        <w:t>:50000.00</w:t>
      </w:r>
      <w:r>
        <w:rPr>
          <w:rFonts w:hint="eastAsia"/>
          <w:sz w:val="24"/>
          <w:szCs w:val="24"/>
          <w:lang w:val="en-US"/>
        </w:rPr>
        <w:t>元</w:t>
      </w:r>
    </w:p>
    <w:p>
      <w:pPr>
        <w:autoSpaceDE/>
        <w:autoSpaceDN/>
        <w:spacing w:line="360" w:lineRule="auto"/>
        <w:ind w:right="189" w:rightChars="86" w:firstLine="480" w:firstLineChars="200"/>
        <w:rPr>
          <w:sz w:val="24"/>
          <w:szCs w:val="24"/>
          <w:lang w:val="en-US"/>
        </w:rPr>
      </w:pPr>
      <w:r>
        <w:rPr>
          <w:rFonts w:hint="eastAsia"/>
          <w:sz w:val="24"/>
          <w:szCs w:val="24"/>
          <w:lang w:val="en-US"/>
        </w:rPr>
        <w:t>2.保证金交纳时间:</w:t>
      </w:r>
      <w:r>
        <w:rPr>
          <w:rFonts w:hint="eastAsia"/>
          <w:sz w:val="24"/>
          <w:szCs w:val="24"/>
          <w:u w:val="single"/>
          <w:lang w:val="en-US"/>
        </w:rPr>
        <w:t>2022年</w:t>
      </w:r>
      <w:r>
        <w:rPr>
          <w:rFonts w:hint="eastAsia"/>
          <w:sz w:val="24"/>
          <w:szCs w:val="24"/>
          <w:u w:val="single"/>
          <w:lang w:val="en-US" w:eastAsia="zh-CN"/>
        </w:rPr>
        <w:t>10</w:t>
      </w:r>
      <w:r>
        <w:rPr>
          <w:rFonts w:hint="eastAsia"/>
          <w:sz w:val="24"/>
          <w:szCs w:val="24"/>
          <w:u w:val="single"/>
          <w:lang w:val="en-US"/>
        </w:rPr>
        <w:t>月</w:t>
      </w:r>
      <w:r>
        <w:rPr>
          <w:rFonts w:hint="eastAsia"/>
          <w:sz w:val="24"/>
          <w:szCs w:val="24"/>
          <w:u w:val="single"/>
          <w:lang w:val="en-US" w:eastAsia="zh-CN"/>
        </w:rPr>
        <w:t>19</w:t>
      </w:r>
      <w:r>
        <w:rPr>
          <w:rFonts w:hint="eastAsia"/>
          <w:sz w:val="24"/>
          <w:szCs w:val="24"/>
          <w:u w:val="single"/>
          <w:lang w:val="en-US"/>
        </w:rPr>
        <w:t>日</w:t>
      </w:r>
      <w:r>
        <w:rPr>
          <w:rFonts w:hint="eastAsia"/>
          <w:sz w:val="24"/>
          <w:szCs w:val="24"/>
          <w:u w:val="single"/>
          <w:lang w:val="en-US" w:eastAsia="zh-CN"/>
        </w:rPr>
        <w:t>09:00时</w:t>
      </w:r>
      <w:r>
        <w:rPr>
          <w:rFonts w:hint="eastAsia"/>
          <w:sz w:val="24"/>
          <w:szCs w:val="24"/>
          <w:u w:val="single"/>
          <w:lang w:val="en-US"/>
        </w:rPr>
        <w:t>至2022年</w:t>
      </w:r>
      <w:r>
        <w:rPr>
          <w:rFonts w:hint="eastAsia"/>
          <w:sz w:val="24"/>
          <w:szCs w:val="24"/>
          <w:u w:val="single"/>
          <w:lang w:val="en-US" w:eastAsia="zh-CN"/>
        </w:rPr>
        <w:t>11</w:t>
      </w:r>
      <w:r>
        <w:rPr>
          <w:rFonts w:hint="eastAsia"/>
          <w:sz w:val="24"/>
          <w:szCs w:val="24"/>
          <w:u w:val="single"/>
          <w:lang w:val="en-US"/>
        </w:rPr>
        <w:t>月</w:t>
      </w:r>
      <w:r>
        <w:rPr>
          <w:rFonts w:hint="eastAsia"/>
          <w:sz w:val="24"/>
          <w:szCs w:val="24"/>
          <w:u w:val="single"/>
          <w:lang w:val="en-US" w:eastAsia="zh-CN"/>
        </w:rPr>
        <w:t>09</w:t>
      </w:r>
      <w:r>
        <w:rPr>
          <w:rFonts w:hint="eastAsia"/>
          <w:sz w:val="24"/>
          <w:szCs w:val="24"/>
          <w:u w:val="single"/>
          <w:lang w:val="en-US"/>
        </w:rPr>
        <w:t>日</w:t>
      </w:r>
      <w:r>
        <w:rPr>
          <w:rFonts w:hint="eastAsia"/>
          <w:sz w:val="24"/>
          <w:szCs w:val="24"/>
          <w:u w:val="single"/>
          <w:lang w:val="en-US" w:eastAsia="zh-CN"/>
        </w:rPr>
        <w:t>13:30时</w:t>
      </w:r>
      <w:r>
        <w:rPr>
          <w:rFonts w:hint="eastAsia"/>
          <w:sz w:val="24"/>
          <w:szCs w:val="24"/>
          <w:lang w:val="en-US"/>
        </w:rPr>
        <w:t> </w:t>
      </w:r>
    </w:p>
    <w:p>
      <w:pPr>
        <w:autoSpaceDE/>
        <w:autoSpaceDN/>
        <w:spacing w:line="360" w:lineRule="auto"/>
        <w:ind w:right="189" w:rightChars="86" w:firstLine="480" w:firstLineChars="200"/>
        <w:rPr>
          <w:sz w:val="24"/>
          <w:szCs w:val="24"/>
          <w:lang w:val="en-US"/>
        </w:rPr>
      </w:pPr>
      <w:r>
        <w:rPr>
          <w:rFonts w:hint="eastAsia"/>
          <w:sz w:val="24"/>
          <w:szCs w:val="24"/>
          <w:lang w:val="en-US"/>
        </w:rPr>
        <w:t>3.保证金交纳方式:支票、汇票、本票、保函和其他。投标保证金以银行转账方式提交的，须从投标人基本账户转出。如有银行保函方式提交的需将存根在开标时带至遵义市公共资源交易中心现场认证。</w:t>
      </w:r>
    </w:p>
    <w:p>
      <w:pPr>
        <w:autoSpaceDE/>
        <w:autoSpaceDN/>
        <w:spacing w:line="360" w:lineRule="auto"/>
        <w:ind w:right="189" w:rightChars="86" w:firstLine="480" w:firstLineChars="200"/>
        <w:rPr>
          <w:sz w:val="24"/>
          <w:szCs w:val="24"/>
          <w:lang w:val="en-US"/>
        </w:rPr>
      </w:pPr>
      <w:r>
        <w:rPr>
          <w:rFonts w:hint="eastAsia"/>
          <w:sz w:val="24"/>
          <w:szCs w:val="24"/>
          <w:lang w:val="en-US"/>
        </w:rPr>
        <w:t>4.开户银行及账号</w:t>
      </w:r>
    </w:p>
    <w:p>
      <w:pPr>
        <w:autoSpaceDE/>
        <w:autoSpaceDN/>
        <w:spacing w:line="360" w:lineRule="auto"/>
        <w:ind w:right="189" w:rightChars="86" w:firstLine="480" w:firstLineChars="200"/>
        <w:rPr>
          <w:sz w:val="24"/>
          <w:szCs w:val="24"/>
          <w:lang w:val="en-US"/>
        </w:rPr>
      </w:pPr>
      <w:r>
        <w:rPr>
          <w:rFonts w:hint="eastAsia"/>
          <w:sz w:val="24"/>
          <w:szCs w:val="24"/>
          <w:lang w:val="en-US"/>
        </w:rPr>
        <w:t>单位名称:</w:t>
      </w:r>
      <w:r>
        <w:rPr>
          <w:rFonts w:hint="eastAsia"/>
          <w:sz w:val="24"/>
          <w:szCs w:val="24"/>
          <w:u w:val="single"/>
          <w:lang w:val="en-US"/>
        </w:rPr>
        <w:t>遵义市公共资源交易中心</w:t>
      </w:r>
    </w:p>
    <w:p>
      <w:pPr>
        <w:autoSpaceDE/>
        <w:autoSpaceDN/>
        <w:spacing w:line="360" w:lineRule="auto"/>
        <w:ind w:right="189" w:rightChars="86" w:firstLine="480" w:firstLineChars="200"/>
        <w:rPr>
          <w:sz w:val="24"/>
          <w:szCs w:val="24"/>
          <w:lang w:val="en-US"/>
        </w:rPr>
      </w:pPr>
      <w:r>
        <w:rPr>
          <w:rFonts w:hint="eastAsia"/>
          <w:sz w:val="24"/>
          <w:szCs w:val="24"/>
          <w:lang w:val="en-US"/>
        </w:rPr>
        <w:t>开户银行:</w:t>
      </w:r>
      <w:r>
        <w:rPr>
          <w:rFonts w:hint="eastAsia"/>
          <w:sz w:val="24"/>
          <w:szCs w:val="24"/>
          <w:u w:val="single"/>
          <w:lang w:val="en-US"/>
        </w:rPr>
        <w:t>交通银行遵义分行厦门路支行</w:t>
      </w:r>
    </w:p>
    <w:p>
      <w:pPr>
        <w:autoSpaceDE/>
        <w:autoSpaceDN/>
        <w:spacing w:line="360" w:lineRule="auto"/>
        <w:ind w:right="189" w:rightChars="86" w:firstLine="480" w:firstLineChars="200"/>
        <w:rPr>
          <w:sz w:val="24"/>
          <w:szCs w:val="24"/>
          <w:lang w:val="en-US"/>
        </w:rPr>
      </w:pPr>
      <w:r>
        <w:rPr>
          <w:rFonts w:hint="eastAsia"/>
          <w:sz w:val="24"/>
          <w:szCs w:val="24"/>
          <w:lang w:val="en-US"/>
        </w:rPr>
        <w:t>帐号:</w:t>
      </w:r>
      <w:r>
        <w:rPr>
          <w:rFonts w:hint="eastAsia"/>
          <w:sz w:val="24"/>
          <w:szCs w:val="24"/>
          <w:u w:val="single"/>
          <w:lang w:val="en-US"/>
        </w:rPr>
        <w:t>523061500018150073564</w:t>
      </w:r>
    </w:p>
    <w:p>
      <w:pPr>
        <w:autoSpaceDE/>
        <w:autoSpaceDN/>
        <w:spacing w:line="360" w:lineRule="auto"/>
        <w:ind w:right="189" w:rightChars="86"/>
        <w:rPr>
          <w:b/>
          <w:bCs/>
          <w:sz w:val="24"/>
          <w:szCs w:val="24"/>
        </w:rPr>
      </w:pPr>
      <w:bookmarkStart w:id="34" w:name="_Toc10878"/>
      <w:r>
        <w:rPr>
          <w:rFonts w:hint="eastAsia"/>
          <w:b/>
          <w:bCs/>
          <w:sz w:val="24"/>
          <w:szCs w:val="24"/>
        </w:rPr>
        <w:t>七、凡对本次采购提出询问，请按以下方式联系。</w:t>
      </w:r>
      <w:bookmarkEnd w:id="30"/>
      <w:bookmarkEnd w:id="31"/>
      <w:bookmarkEnd w:id="32"/>
      <w:bookmarkEnd w:id="33"/>
      <w:bookmarkEnd w:id="34"/>
    </w:p>
    <w:p>
      <w:pPr>
        <w:autoSpaceDE/>
        <w:autoSpaceDN/>
        <w:spacing w:line="360" w:lineRule="auto"/>
        <w:ind w:right="189" w:rightChars="86" w:firstLine="480" w:firstLineChars="200"/>
        <w:rPr>
          <w:sz w:val="24"/>
          <w:szCs w:val="24"/>
          <w:lang w:val="en-US"/>
        </w:rPr>
      </w:pPr>
      <w:bookmarkStart w:id="35" w:name="_Toc28359019"/>
      <w:bookmarkStart w:id="36" w:name="_Toc35393806"/>
      <w:bookmarkStart w:id="37" w:name="_Toc35393637"/>
      <w:bookmarkStart w:id="38" w:name="_Toc28359096"/>
      <w:r>
        <w:rPr>
          <w:rFonts w:hint="eastAsia"/>
          <w:sz w:val="24"/>
          <w:szCs w:val="24"/>
          <w:lang w:val="en-US"/>
        </w:rPr>
        <w:t>1.采购人信息</w:t>
      </w:r>
      <w:bookmarkEnd w:id="35"/>
      <w:bookmarkEnd w:id="36"/>
      <w:bookmarkEnd w:id="37"/>
      <w:bookmarkEnd w:id="38"/>
    </w:p>
    <w:p>
      <w:pPr>
        <w:autoSpaceDE/>
        <w:autoSpaceDN/>
        <w:spacing w:line="360" w:lineRule="auto"/>
        <w:ind w:right="189" w:rightChars="86" w:firstLine="480" w:firstLineChars="200"/>
        <w:rPr>
          <w:sz w:val="24"/>
          <w:szCs w:val="24"/>
          <w:lang w:val="en-US"/>
        </w:rPr>
      </w:pPr>
      <w:bookmarkStart w:id="39" w:name="_Toc35393638"/>
      <w:bookmarkStart w:id="40" w:name="_Toc28359020"/>
      <w:bookmarkStart w:id="41" w:name="_Toc35393807"/>
      <w:bookmarkStart w:id="42" w:name="_Toc28359097"/>
      <w:r>
        <w:rPr>
          <w:rFonts w:hint="eastAsia"/>
          <w:sz w:val="24"/>
          <w:szCs w:val="24"/>
          <w:lang w:val="en-US"/>
        </w:rPr>
        <w:t>名    称：遵义市中医院　</w:t>
      </w:r>
    </w:p>
    <w:p>
      <w:pPr>
        <w:autoSpaceDE/>
        <w:autoSpaceDN/>
        <w:spacing w:line="360" w:lineRule="auto"/>
        <w:ind w:right="189" w:rightChars="86" w:firstLine="480" w:firstLineChars="200"/>
        <w:rPr>
          <w:sz w:val="24"/>
          <w:szCs w:val="24"/>
          <w:lang w:val="en-US"/>
        </w:rPr>
      </w:pPr>
      <w:r>
        <w:rPr>
          <w:rFonts w:hint="eastAsia"/>
          <w:sz w:val="24"/>
          <w:szCs w:val="24"/>
          <w:lang w:val="en-US"/>
        </w:rPr>
        <w:t>地    址：遵义市新蒲新区</w:t>
      </w:r>
    </w:p>
    <w:p>
      <w:pPr>
        <w:autoSpaceDE/>
        <w:autoSpaceDN/>
        <w:spacing w:line="360" w:lineRule="auto"/>
        <w:ind w:right="189" w:rightChars="86" w:firstLine="480" w:firstLineChars="200"/>
        <w:rPr>
          <w:sz w:val="24"/>
          <w:szCs w:val="24"/>
          <w:lang w:val="en-US"/>
        </w:rPr>
      </w:pPr>
      <w:r>
        <w:rPr>
          <w:rFonts w:hint="eastAsia"/>
          <w:sz w:val="24"/>
          <w:szCs w:val="24"/>
          <w:lang w:val="en-US"/>
        </w:rPr>
        <w:t>联系方式：朱先生/0851-28768333</w:t>
      </w:r>
    </w:p>
    <w:p>
      <w:pPr>
        <w:autoSpaceDE/>
        <w:autoSpaceDN/>
        <w:spacing w:line="360" w:lineRule="auto"/>
        <w:ind w:right="189" w:rightChars="86" w:firstLine="480" w:firstLineChars="200"/>
        <w:rPr>
          <w:sz w:val="24"/>
          <w:szCs w:val="24"/>
          <w:lang w:val="en-US"/>
        </w:rPr>
      </w:pPr>
      <w:r>
        <w:rPr>
          <w:rFonts w:hint="eastAsia"/>
          <w:sz w:val="24"/>
          <w:szCs w:val="24"/>
          <w:lang w:val="en-US"/>
        </w:rPr>
        <w:t>采购代理机构信息（如有）</w:t>
      </w:r>
      <w:bookmarkEnd w:id="39"/>
      <w:bookmarkEnd w:id="40"/>
      <w:bookmarkEnd w:id="41"/>
      <w:bookmarkEnd w:id="42"/>
    </w:p>
    <w:p>
      <w:pPr>
        <w:autoSpaceDE/>
        <w:autoSpaceDN/>
        <w:spacing w:line="360" w:lineRule="auto"/>
        <w:ind w:right="189" w:rightChars="86" w:firstLine="480" w:firstLineChars="200"/>
        <w:rPr>
          <w:sz w:val="24"/>
          <w:szCs w:val="24"/>
          <w:lang w:val="en-US"/>
        </w:rPr>
      </w:pPr>
      <w:r>
        <w:rPr>
          <w:rFonts w:hint="eastAsia"/>
          <w:sz w:val="24"/>
          <w:szCs w:val="24"/>
          <w:lang w:val="en-US"/>
        </w:rPr>
        <w:t>名    称：贵州国询建设投资咨询有限公司　</w:t>
      </w:r>
    </w:p>
    <w:p>
      <w:pPr>
        <w:autoSpaceDE/>
        <w:autoSpaceDN/>
        <w:spacing w:line="360" w:lineRule="auto"/>
        <w:ind w:right="189" w:rightChars="86" w:firstLine="480" w:firstLineChars="200"/>
        <w:rPr>
          <w:sz w:val="24"/>
          <w:szCs w:val="24"/>
          <w:lang w:val="en-US"/>
        </w:rPr>
      </w:pPr>
      <w:r>
        <w:rPr>
          <w:rFonts w:hint="eastAsia"/>
          <w:sz w:val="24"/>
          <w:szCs w:val="24"/>
          <w:lang w:val="en-US"/>
        </w:rPr>
        <w:t>地　　址：贵州省遵义市汇川区昆明路唯一国际金创大厦15层</w:t>
      </w:r>
    </w:p>
    <w:p>
      <w:pPr>
        <w:autoSpaceDE/>
        <w:autoSpaceDN/>
        <w:spacing w:line="360" w:lineRule="auto"/>
        <w:ind w:right="189" w:rightChars="86" w:firstLine="480" w:firstLineChars="200"/>
        <w:rPr>
          <w:sz w:val="24"/>
          <w:szCs w:val="24"/>
          <w:lang w:val="en-US"/>
        </w:rPr>
      </w:pPr>
      <w:r>
        <w:rPr>
          <w:rFonts w:hint="eastAsia"/>
          <w:sz w:val="24"/>
          <w:szCs w:val="24"/>
          <w:lang w:val="en-US"/>
        </w:rPr>
        <w:t>联系方式：0851-28970480　</w:t>
      </w:r>
    </w:p>
    <w:p>
      <w:pPr>
        <w:autoSpaceDE/>
        <w:autoSpaceDN/>
        <w:spacing w:line="360" w:lineRule="auto"/>
        <w:ind w:right="189" w:rightChars="86" w:firstLine="480" w:firstLineChars="200"/>
        <w:rPr>
          <w:sz w:val="24"/>
          <w:szCs w:val="24"/>
          <w:lang w:val="en-US"/>
        </w:rPr>
      </w:pPr>
      <w:bookmarkStart w:id="43" w:name="_Toc35393639"/>
      <w:bookmarkStart w:id="44" w:name="_Toc28359021"/>
      <w:bookmarkStart w:id="45" w:name="_Toc35393808"/>
      <w:bookmarkStart w:id="46" w:name="_Toc28359098"/>
      <w:r>
        <w:rPr>
          <w:rFonts w:hint="eastAsia"/>
          <w:sz w:val="24"/>
          <w:szCs w:val="24"/>
          <w:lang w:val="en-US"/>
        </w:rPr>
        <w:t>3.项目联系方式</w:t>
      </w:r>
      <w:bookmarkEnd w:id="43"/>
      <w:bookmarkEnd w:id="44"/>
      <w:bookmarkEnd w:id="45"/>
      <w:bookmarkEnd w:id="46"/>
    </w:p>
    <w:p>
      <w:pPr>
        <w:autoSpaceDE/>
        <w:autoSpaceDN/>
        <w:spacing w:line="360" w:lineRule="auto"/>
        <w:ind w:right="189" w:rightChars="86" w:firstLine="480" w:firstLineChars="200"/>
        <w:rPr>
          <w:sz w:val="24"/>
          <w:szCs w:val="24"/>
          <w:lang w:val="en-US"/>
        </w:rPr>
      </w:pPr>
      <w:r>
        <w:rPr>
          <w:rFonts w:hint="eastAsia"/>
          <w:sz w:val="24"/>
          <w:szCs w:val="24"/>
          <w:lang w:val="en-US"/>
        </w:rPr>
        <w:t>项目联系人：龙勇奎</w:t>
      </w:r>
    </w:p>
    <w:p>
      <w:pPr>
        <w:autoSpaceDE/>
        <w:autoSpaceDN/>
        <w:spacing w:line="360" w:lineRule="auto"/>
        <w:ind w:right="189" w:rightChars="86" w:firstLine="480" w:firstLineChars="200"/>
        <w:rPr>
          <w:sz w:val="24"/>
          <w:szCs w:val="24"/>
          <w:lang w:val="en-US"/>
        </w:rPr>
      </w:pPr>
      <w:r>
        <w:rPr>
          <w:rFonts w:hint="eastAsia"/>
          <w:sz w:val="24"/>
          <w:szCs w:val="24"/>
          <w:lang w:val="en-US"/>
        </w:rPr>
        <w:t>电　　 话：0851-28970480</w:t>
      </w:r>
    </w:p>
    <w:p>
      <w:pPr>
        <w:autoSpaceDE/>
        <w:autoSpaceDN/>
        <w:spacing w:line="360" w:lineRule="auto"/>
        <w:ind w:right="189" w:rightChars="86" w:firstLine="480" w:firstLineChars="200"/>
        <w:rPr>
          <w:sz w:val="24"/>
          <w:szCs w:val="24"/>
          <w:lang w:val="en-US"/>
        </w:rPr>
      </w:pPr>
    </w:p>
    <w:p>
      <w:pPr>
        <w:autoSpaceDE/>
        <w:autoSpaceDN/>
        <w:spacing w:line="360" w:lineRule="auto"/>
        <w:ind w:right="189" w:rightChars="86" w:firstLine="482" w:firstLineChars="200"/>
        <w:rPr>
          <w:b/>
          <w:bCs/>
          <w:sz w:val="24"/>
          <w:szCs w:val="24"/>
        </w:rPr>
      </w:pPr>
      <w:r>
        <w:rPr>
          <w:rFonts w:hint="eastAsia"/>
          <w:b/>
          <w:bCs/>
          <w:sz w:val="24"/>
          <w:szCs w:val="24"/>
        </w:rPr>
        <w:t>重要提示</w:t>
      </w:r>
    </w:p>
    <w:p>
      <w:pPr>
        <w:pStyle w:val="10"/>
        <w:spacing w:line="360" w:lineRule="auto"/>
        <w:ind w:right="189" w:rightChars="86"/>
        <w:rPr>
          <w:b/>
          <w:bCs/>
          <w:sz w:val="24"/>
          <w:szCs w:val="24"/>
        </w:rPr>
      </w:pPr>
      <w:r>
        <w:rPr>
          <w:rFonts w:hint="eastAsia"/>
          <w:b/>
          <w:bCs/>
          <w:sz w:val="24"/>
          <w:szCs w:val="24"/>
        </w:rPr>
        <w:t xml:space="preserve"> 1、该项目采用全电子化交易，投标文件采取电子文件投标，请各投标人下载专业投标文件制作工具。 下载地址：登录全国公共资源交易平台（贵州省.遵义市）——下载中心——新点投标文件制作软件（遵义版）</w:t>
      </w:r>
    </w:p>
    <w:p>
      <w:pPr>
        <w:pStyle w:val="10"/>
        <w:spacing w:line="360" w:lineRule="auto"/>
        <w:ind w:right="189" w:rightChars="86"/>
        <w:rPr>
          <w:b/>
          <w:bCs/>
          <w:sz w:val="24"/>
          <w:szCs w:val="24"/>
        </w:rPr>
      </w:pPr>
      <w:r>
        <w:rPr>
          <w:rFonts w:hint="eastAsia"/>
          <w:b/>
          <w:bCs/>
          <w:sz w:val="24"/>
          <w:szCs w:val="24"/>
          <w:lang w:val="en-US"/>
        </w:rPr>
        <w:t>2、</w:t>
      </w:r>
      <w:r>
        <w:rPr>
          <w:rFonts w:hint="eastAsia"/>
          <w:b/>
          <w:bCs/>
          <w:sz w:val="24"/>
          <w:szCs w:val="24"/>
        </w:rPr>
        <w:t>全电子投标学习地址：登录全国公共资源交易平台（贵州省.遵义市）——通知公告栏——点击《遵义市公共资源交易中心关于开展政府采购 全电子化交易平台业务培训的通知》</w:t>
      </w:r>
    </w:p>
    <w:p>
      <w:pPr>
        <w:pStyle w:val="10"/>
        <w:spacing w:line="360" w:lineRule="auto"/>
        <w:ind w:right="189" w:rightChars="86"/>
        <w:rPr>
          <w:b/>
          <w:bCs/>
          <w:sz w:val="24"/>
          <w:szCs w:val="24"/>
        </w:rPr>
      </w:pPr>
      <w:r>
        <w:rPr>
          <w:rFonts w:hint="eastAsia"/>
          <w:b/>
          <w:bCs/>
          <w:sz w:val="24"/>
          <w:szCs w:val="24"/>
          <w:lang w:val="en-US"/>
        </w:rPr>
        <w:t>3、</w:t>
      </w:r>
      <w:r>
        <w:rPr>
          <w:rFonts w:hint="eastAsia"/>
          <w:b/>
          <w:bCs/>
          <w:sz w:val="24"/>
          <w:szCs w:val="24"/>
        </w:rPr>
        <w:t xml:space="preserve"> 请认真阅读保证金缴纳说明。 </w:t>
      </w:r>
    </w:p>
    <w:p>
      <w:pPr>
        <w:spacing w:line="360" w:lineRule="auto"/>
        <w:ind w:right="189" w:rightChars="86"/>
        <w:rPr>
          <w:b/>
          <w:bCs/>
          <w:sz w:val="24"/>
          <w:szCs w:val="24"/>
          <w:lang w:val="en-US"/>
        </w:rPr>
      </w:pPr>
      <w:r>
        <w:rPr>
          <w:rFonts w:hint="eastAsia"/>
          <w:b/>
          <w:bCs/>
          <w:sz w:val="24"/>
          <w:szCs w:val="24"/>
          <w:lang w:val="en-US"/>
        </w:rPr>
        <w:t>4、该项目投标人可自主选择远程投标、不见面开标，请各投标人通过投标系统中“不见面开标手册”进行学习。开标时间到后请选择远程投标、不见面开标的投标人及时进行投标文件远程解密，开标期未实行远程解密造成投标失败的由投标人自行负责。远程投标、不见面开标过程中遇见问题的请及时联系该项目采购代理机构和采购人，否则按投标无效处理。</w:t>
      </w:r>
    </w:p>
    <w:p>
      <w:pPr>
        <w:rPr>
          <w:lang w:val="en-US"/>
        </w:rPr>
      </w:pPr>
    </w:p>
    <w:p>
      <w:pPr>
        <w:pStyle w:val="4"/>
        <w:ind w:left="0"/>
        <w:jc w:val="center"/>
        <w:rPr>
          <w:b/>
          <w:bCs/>
        </w:rPr>
      </w:pPr>
      <w:bookmarkStart w:id="47" w:name="_Toc27522"/>
      <w:r>
        <w:rPr>
          <w:b/>
          <w:bCs/>
        </w:rPr>
        <w:t>第</w:t>
      </w:r>
      <w:r>
        <w:rPr>
          <w:rFonts w:hint="eastAsia"/>
          <w:b/>
          <w:bCs/>
          <w:lang w:val="en-US"/>
        </w:rPr>
        <w:t>二</w:t>
      </w:r>
      <w:r>
        <w:rPr>
          <w:b/>
          <w:bCs/>
        </w:rPr>
        <w:t>章</w:t>
      </w:r>
      <w:bookmarkStart w:id="48" w:name="第二章投标供应商须知前附表"/>
      <w:bookmarkEnd w:id="48"/>
      <w:r>
        <w:rPr>
          <w:rFonts w:hint="eastAsia"/>
          <w:b/>
          <w:bCs/>
          <w:lang w:val="en-US"/>
        </w:rPr>
        <w:t xml:space="preserve">  </w:t>
      </w:r>
      <w:r>
        <w:rPr>
          <w:b/>
          <w:bCs/>
        </w:rPr>
        <w:t>投标供应商须知前附表</w:t>
      </w:r>
      <w:bookmarkEnd w:id="47"/>
    </w:p>
    <w:tbl>
      <w:tblPr>
        <w:tblStyle w:val="24"/>
        <w:tblpPr w:leftFromText="180" w:rightFromText="180" w:vertAnchor="text" w:horzAnchor="page" w:tblpXSpec="center" w:tblpY="983"/>
        <w:tblOverlap w:val="never"/>
        <w:tblW w:w="94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3"/>
        <w:gridCol w:w="1787"/>
        <w:gridCol w:w="6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813" w:type="dxa"/>
            <w:vAlign w:val="center"/>
          </w:tcPr>
          <w:p>
            <w:pPr>
              <w:pStyle w:val="35"/>
              <w:spacing w:line="250" w:lineRule="exact"/>
              <w:ind w:left="174" w:right="168"/>
              <w:jc w:val="center"/>
              <w:rPr>
                <w:b/>
                <w:bCs/>
                <w:kern w:val="2"/>
                <w:sz w:val="24"/>
                <w:szCs w:val="24"/>
              </w:rPr>
            </w:pPr>
            <w:r>
              <w:rPr>
                <w:b/>
                <w:bCs/>
                <w:kern w:val="2"/>
                <w:sz w:val="24"/>
                <w:szCs w:val="24"/>
              </w:rPr>
              <w:t>序号</w:t>
            </w:r>
          </w:p>
        </w:tc>
        <w:tc>
          <w:tcPr>
            <w:tcW w:w="1787" w:type="dxa"/>
            <w:vAlign w:val="center"/>
          </w:tcPr>
          <w:p>
            <w:pPr>
              <w:pStyle w:val="35"/>
              <w:spacing w:before="99" w:line="364" w:lineRule="auto"/>
              <w:ind w:left="106" w:right="9"/>
              <w:jc w:val="center"/>
              <w:rPr>
                <w:b/>
                <w:bCs/>
                <w:kern w:val="2"/>
                <w:sz w:val="24"/>
                <w:szCs w:val="24"/>
              </w:rPr>
            </w:pPr>
            <w:r>
              <w:rPr>
                <w:rFonts w:hint="eastAsia"/>
                <w:b/>
                <w:bCs/>
                <w:kern w:val="2"/>
                <w:sz w:val="24"/>
                <w:szCs w:val="24"/>
              </w:rPr>
              <w:t>条款名称</w:t>
            </w:r>
          </w:p>
        </w:tc>
        <w:tc>
          <w:tcPr>
            <w:tcW w:w="6884" w:type="dxa"/>
            <w:vAlign w:val="center"/>
          </w:tcPr>
          <w:p>
            <w:pPr>
              <w:pStyle w:val="35"/>
              <w:spacing w:before="99" w:line="364" w:lineRule="auto"/>
              <w:ind w:left="106" w:right="9" w:firstLine="2168" w:firstLineChars="900"/>
              <w:jc w:val="both"/>
              <w:rPr>
                <w:b/>
                <w:bCs/>
                <w:kern w:val="2"/>
                <w:sz w:val="24"/>
                <w:szCs w:val="24"/>
              </w:rPr>
            </w:pPr>
            <w:r>
              <w:rPr>
                <w:rFonts w:hint="eastAsia"/>
                <w:b/>
                <w:bCs/>
                <w:kern w:val="2"/>
                <w:sz w:val="24"/>
                <w:szCs w:val="24"/>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1" w:hRule="atLeast"/>
          <w:jc w:val="center"/>
        </w:trPr>
        <w:tc>
          <w:tcPr>
            <w:tcW w:w="813" w:type="dxa"/>
          </w:tcPr>
          <w:p>
            <w:pPr>
              <w:pStyle w:val="35"/>
              <w:spacing w:before="99" w:line="364" w:lineRule="auto"/>
              <w:ind w:left="106" w:right="9"/>
              <w:jc w:val="center"/>
              <w:rPr>
                <w:kern w:val="2"/>
                <w:sz w:val="24"/>
                <w:szCs w:val="24"/>
              </w:rPr>
            </w:pPr>
            <w:r>
              <w:rPr>
                <w:rFonts w:hint="eastAsia"/>
                <w:kern w:val="2"/>
                <w:sz w:val="24"/>
                <w:szCs w:val="24"/>
              </w:rPr>
              <w:t>1</w:t>
            </w:r>
          </w:p>
        </w:tc>
        <w:tc>
          <w:tcPr>
            <w:tcW w:w="1787" w:type="dxa"/>
          </w:tcPr>
          <w:p>
            <w:pPr>
              <w:pStyle w:val="35"/>
              <w:spacing w:before="99" w:line="364" w:lineRule="auto"/>
              <w:ind w:left="106" w:right="9"/>
              <w:jc w:val="center"/>
              <w:rPr>
                <w:kern w:val="2"/>
                <w:sz w:val="24"/>
                <w:szCs w:val="24"/>
              </w:rPr>
            </w:pPr>
            <w:r>
              <w:rPr>
                <w:rFonts w:hint="eastAsia"/>
                <w:kern w:val="2"/>
                <w:sz w:val="24"/>
                <w:szCs w:val="24"/>
              </w:rPr>
              <w:t>采购人</w:t>
            </w:r>
          </w:p>
        </w:tc>
        <w:tc>
          <w:tcPr>
            <w:tcW w:w="6884" w:type="dxa"/>
          </w:tcPr>
          <w:p>
            <w:pPr>
              <w:pStyle w:val="35"/>
              <w:spacing w:before="99"/>
              <w:ind w:left="108" w:right="11"/>
              <w:rPr>
                <w:kern w:val="2"/>
                <w:sz w:val="24"/>
                <w:szCs w:val="24"/>
                <w:lang w:val="en-US"/>
              </w:rPr>
            </w:pPr>
            <w:r>
              <w:rPr>
                <w:rFonts w:hint="eastAsia"/>
                <w:kern w:val="2"/>
                <w:sz w:val="24"/>
                <w:szCs w:val="24"/>
                <w:lang w:val="en-US"/>
              </w:rPr>
              <w:t>名    称：遵义市中医院　</w:t>
            </w:r>
          </w:p>
          <w:p>
            <w:pPr>
              <w:pStyle w:val="35"/>
              <w:spacing w:before="99"/>
              <w:ind w:left="108" w:right="11"/>
              <w:rPr>
                <w:kern w:val="2"/>
                <w:sz w:val="24"/>
                <w:szCs w:val="24"/>
                <w:lang w:val="en-US"/>
              </w:rPr>
            </w:pPr>
            <w:r>
              <w:rPr>
                <w:rFonts w:hint="eastAsia"/>
                <w:kern w:val="2"/>
                <w:sz w:val="24"/>
                <w:szCs w:val="24"/>
                <w:lang w:val="en-US"/>
              </w:rPr>
              <w:t>地    址：遵义市新蒲新区</w:t>
            </w:r>
          </w:p>
          <w:p>
            <w:pPr>
              <w:pStyle w:val="35"/>
              <w:spacing w:before="99"/>
              <w:ind w:left="108" w:right="11"/>
              <w:rPr>
                <w:kern w:val="2"/>
                <w:sz w:val="24"/>
                <w:szCs w:val="24"/>
                <w:lang w:val="en-US"/>
              </w:rPr>
            </w:pPr>
            <w:r>
              <w:rPr>
                <w:rFonts w:hint="eastAsia"/>
                <w:kern w:val="2"/>
                <w:sz w:val="24"/>
                <w:szCs w:val="24"/>
                <w:lang w:val="en-US"/>
              </w:rPr>
              <w:t>联系方式：朱先生/0851-28768333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9" w:hRule="atLeast"/>
          <w:jc w:val="center"/>
        </w:trPr>
        <w:tc>
          <w:tcPr>
            <w:tcW w:w="813" w:type="dxa"/>
          </w:tcPr>
          <w:p>
            <w:pPr>
              <w:pStyle w:val="35"/>
              <w:spacing w:before="99" w:line="364" w:lineRule="auto"/>
              <w:ind w:left="106" w:right="9"/>
              <w:jc w:val="center"/>
              <w:rPr>
                <w:kern w:val="2"/>
                <w:sz w:val="24"/>
                <w:szCs w:val="24"/>
              </w:rPr>
            </w:pPr>
            <w:r>
              <w:rPr>
                <w:rFonts w:hint="eastAsia"/>
                <w:kern w:val="2"/>
                <w:sz w:val="24"/>
                <w:szCs w:val="24"/>
              </w:rPr>
              <w:t>2</w:t>
            </w:r>
          </w:p>
        </w:tc>
        <w:tc>
          <w:tcPr>
            <w:tcW w:w="1787" w:type="dxa"/>
          </w:tcPr>
          <w:p>
            <w:pPr>
              <w:pStyle w:val="35"/>
              <w:spacing w:before="99" w:line="364" w:lineRule="auto"/>
              <w:ind w:left="106" w:right="9"/>
              <w:jc w:val="center"/>
              <w:rPr>
                <w:kern w:val="2"/>
                <w:sz w:val="24"/>
                <w:szCs w:val="24"/>
              </w:rPr>
            </w:pPr>
            <w:r>
              <w:rPr>
                <w:rFonts w:hint="eastAsia"/>
                <w:kern w:val="2"/>
                <w:sz w:val="24"/>
                <w:szCs w:val="24"/>
              </w:rPr>
              <w:t>采购代理机构</w:t>
            </w:r>
          </w:p>
        </w:tc>
        <w:tc>
          <w:tcPr>
            <w:tcW w:w="6884" w:type="dxa"/>
          </w:tcPr>
          <w:p>
            <w:pPr>
              <w:pStyle w:val="35"/>
              <w:spacing w:before="99"/>
              <w:ind w:left="108" w:right="11"/>
              <w:rPr>
                <w:kern w:val="2"/>
                <w:sz w:val="24"/>
                <w:szCs w:val="24"/>
                <w:lang w:val="en-US"/>
              </w:rPr>
            </w:pPr>
            <w:r>
              <w:rPr>
                <w:rFonts w:hint="eastAsia"/>
                <w:kern w:val="2"/>
                <w:sz w:val="24"/>
                <w:szCs w:val="24"/>
                <w:lang w:val="en-US"/>
              </w:rPr>
              <w:t>名</w:t>
            </w:r>
            <w:r>
              <w:rPr>
                <w:rFonts w:hint="eastAsia"/>
                <w:kern w:val="2"/>
                <w:sz w:val="24"/>
                <w:szCs w:val="24"/>
                <w:lang w:val="en-US"/>
              </w:rPr>
              <w:tab/>
            </w:r>
            <w:r>
              <w:rPr>
                <w:rFonts w:hint="eastAsia"/>
                <w:kern w:val="2"/>
                <w:sz w:val="24"/>
                <w:szCs w:val="24"/>
                <w:lang w:val="en-US"/>
              </w:rPr>
              <w:t>称：贵州国询建设投资咨询有限公司</w:t>
            </w:r>
          </w:p>
          <w:p>
            <w:pPr>
              <w:pStyle w:val="35"/>
              <w:spacing w:before="99"/>
              <w:ind w:left="108" w:right="11"/>
              <w:rPr>
                <w:kern w:val="2"/>
                <w:sz w:val="24"/>
                <w:szCs w:val="24"/>
                <w:lang w:val="en-US"/>
              </w:rPr>
            </w:pPr>
            <w:r>
              <w:rPr>
                <w:rFonts w:hint="eastAsia"/>
                <w:kern w:val="2"/>
                <w:sz w:val="24"/>
                <w:szCs w:val="24"/>
                <w:lang w:val="en-US"/>
              </w:rPr>
              <w:t>地</w:t>
            </w:r>
            <w:r>
              <w:rPr>
                <w:rFonts w:hint="eastAsia"/>
                <w:kern w:val="2"/>
                <w:sz w:val="24"/>
                <w:szCs w:val="24"/>
                <w:lang w:val="en-US"/>
              </w:rPr>
              <w:tab/>
            </w:r>
            <w:r>
              <w:rPr>
                <w:rFonts w:hint="eastAsia"/>
                <w:kern w:val="2"/>
                <w:sz w:val="24"/>
                <w:szCs w:val="24"/>
                <w:lang w:val="en-US"/>
              </w:rPr>
              <w:t>址：贵州省遵义市汇川区昆明路唯一国际金创大厦15楼</w:t>
            </w:r>
          </w:p>
          <w:p>
            <w:pPr>
              <w:pStyle w:val="35"/>
              <w:spacing w:before="99"/>
              <w:ind w:left="108" w:right="11"/>
              <w:rPr>
                <w:kern w:val="2"/>
                <w:sz w:val="24"/>
                <w:szCs w:val="24"/>
                <w:lang w:val="en-US"/>
              </w:rPr>
            </w:pPr>
            <w:r>
              <w:rPr>
                <w:rFonts w:hint="eastAsia"/>
                <w:kern w:val="2"/>
                <w:sz w:val="24"/>
                <w:szCs w:val="24"/>
                <w:lang w:val="en-US"/>
              </w:rPr>
              <w:t>联系人：龙勇奎</w:t>
            </w:r>
          </w:p>
          <w:p>
            <w:pPr>
              <w:pStyle w:val="35"/>
              <w:spacing w:before="99"/>
              <w:ind w:left="108" w:right="11"/>
              <w:rPr>
                <w:kern w:val="2"/>
                <w:sz w:val="24"/>
                <w:szCs w:val="24"/>
                <w:lang w:val="en-US"/>
              </w:rPr>
            </w:pPr>
            <w:r>
              <w:rPr>
                <w:rFonts w:hint="eastAsia"/>
                <w:kern w:val="2"/>
                <w:sz w:val="24"/>
                <w:szCs w:val="24"/>
                <w:lang w:val="en-US"/>
              </w:rPr>
              <w:t>电话：0851-28970480</w:t>
            </w:r>
          </w:p>
          <w:p>
            <w:pPr>
              <w:pStyle w:val="35"/>
              <w:spacing w:before="99"/>
              <w:ind w:left="108" w:right="11"/>
              <w:rPr>
                <w:kern w:val="2"/>
                <w:sz w:val="24"/>
                <w:szCs w:val="24"/>
                <w:lang w:val="en-US"/>
              </w:rPr>
            </w:pPr>
            <w:r>
              <w:rPr>
                <w:rFonts w:hint="eastAsia"/>
                <w:kern w:val="2"/>
                <w:sz w:val="24"/>
                <w:szCs w:val="24"/>
                <w:lang w:val="en-US"/>
              </w:rPr>
              <w:t>电子邮件：</w:t>
            </w:r>
            <w:r>
              <w:fldChar w:fldCharType="begin"/>
            </w:r>
            <w:r>
              <w:rPr>
                <w:lang w:val="en-US"/>
              </w:rPr>
              <w:instrText xml:space="preserve"> HYPERLINK "mailto:911090451@qq.com" \h </w:instrText>
            </w:r>
            <w:r>
              <w:fldChar w:fldCharType="separate"/>
            </w:r>
            <w:r>
              <w:rPr>
                <w:rFonts w:hint="eastAsia"/>
                <w:kern w:val="2"/>
                <w:sz w:val="24"/>
                <w:szCs w:val="24"/>
                <w:lang w:val="en-US"/>
              </w:rPr>
              <w:t>911090451@qq.com</w:t>
            </w:r>
            <w:r>
              <w:rPr>
                <w:kern w:val="2"/>
                <w:sz w:val="24"/>
                <w:szCs w:val="24"/>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813" w:type="dxa"/>
          </w:tcPr>
          <w:p>
            <w:pPr>
              <w:pStyle w:val="35"/>
              <w:spacing w:before="149" w:line="240" w:lineRule="exact"/>
              <w:ind w:right="26"/>
              <w:jc w:val="center"/>
              <w:rPr>
                <w:rFonts w:ascii="Times New Roman"/>
                <w:kern w:val="2"/>
                <w:sz w:val="24"/>
                <w:szCs w:val="24"/>
              </w:rPr>
            </w:pPr>
            <w:r>
              <w:rPr>
                <w:rFonts w:ascii="Times New Roman"/>
                <w:w w:val="99"/>
                <w:kern w:val="2"/>
                <w:sz w:val="24"/>
                <w:szCs w:val="24"/>
              </w:rPr>
              <w:t>3</w:t>
            </w:r>
          </w:p>
        </w:tc>
        <w:tc>
          <w:tcPr>
            <w:tcW w:w="1787" w:type="dxa"/>
          </w:tcPr>
          <w:p>
            <w:pPr>
              <w:pStyle w:val="35"/>
              <w:spacing w:before="68"/>
              <w:ind w:left="430" w:right="-60"/>
              <w:jc w:val="both"/>
              <w:rPr>
                <w:kern w:val="2"/>
                <w:sz w:val="24"/>
                <w:szCs w:val="24"/>
              </w:rPr>
            </w:pPr>
            <w:r>
              <w:rPr>
                <w:kern w:val="2"/>
                <w:sz w:val="24"/>
                <w:szCs w:val="24"/>
              </w:rPr>
              <w:t>项目名称</w:t>
            </w:r>
          </w:p>
        </w:tc>
        <w:tc>
          <w:tcPr>
            <w:tcW w:w="6884" w:type="dxa"/>
          </w:tcPr>
          <w:p>
            <w:pPr>
              <w:pStyle w:val="35"/>
              <w:spacing w:before="99" w:line="364" w:lineRule="auto"/>
              <w:ind w:left="106" w:right="9"/>
              <w:rPr>
                <w:kern w:val="2"/>
                <w:sz w:val="24"/>
                <w:szCs w:val="24"/>
                <w:lang w:val="en-US"/>
              </w:rPr>
            </w:pPr>
            <w:r>
              <w:rPr>
                <w:rFonts w:hint="eastAsia"/>
                <w:kern w:val="2"/>
                <w:sz w:val="24"/>
                <w:szCs w:val="24"/>
                <w:lang w:val="en-US"/>
              </w:rPr>
              <w:t>遵义市中医院关于互联网医院建设项目采购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813" w:type="dxa"/>
          </w:tcPr>
          <w:p>
            <w:pPr>
              <w:pStyle w:val="35"/>
              <w:spacing w:before="16"/>
              <w:ind w:left="4"/>
              <w:jc w:val="center"/>
              <w:rPr>
                <w:rFonts w:ascii="Times New Roman"/>
                <w:kern w:val="2"/>
                <w:sz w:val="24"/>
                <w:szCs w:val="24"/>
              </w:rPr>
            </w:pPr>
            <w:r>
              <w:rPr>
                <w:rFonts w:ascii="Times New Roman"/>
                <w:w w:val="99"/>
                <w:kern w:val="2"/>
                <w:sz w:val="24"/>
                <w:szCs w:val="24"/>
              </w:rPr>
              <w:t>4</w:t>
            </w:r>
          </w:p>
        </w:tc>
        <w:tc>
          <w:tcPr>
            <w:tcW w:w="1787" w:type="dxa"/>
          </w:tcPr>
          <w:p>
            <w:pPr>
              <w:pStyle w:val="35"/>
              <w:spacing w:before="2"/>
              <w:ind w:left="430" w:right="160"/>
              <w:jc w:val="center"/>
              <w:rPr>
                <w:kern w:val="2"/>
                <w:sz w:val="24"/>
                <w:szCs w:val="24"/>
              </w:rPr>
            </w:pPr>
            <w:r>
              <w:rPr>
                <w:kern w:val="2"/>
                <w:sz w:val="24"/>
                <w:szCs w:val="24"/>
              </w:rPr>
              <w:t>资金来源</w:t>
            </w:r>
          </w:p>
        </w:tc>
        <w:tc>
          <w:tcPr>
            <w:tcW w:w="6884" w:type="dxa"/>
          </w:tcPr>
          <w:p>
            <w:pPr>
              <w:pStyle w:val="35"/>
              <w:spacing w:before="99" w:line="364" w:lineRule="auto"/>
              <w:ind w:left="106" w:right="9"/>
              <w:rPr>
                <w:kern w:val="2"/>
                <w:sz w:val="24"/>
                <w:szCs w:val="24"/>
                <w:lang w:val="en-US"/>
              </w:rPr>
            </w:pPr>
            <w:r>
              <w:rPr>
                <w:rFonts w:hint="eastAsia"/>
                <w:kern w:val="2"/>
                <w:sz w:val="24"/>
                <w:szCs w:val="24"/>
                <w:lang w:val="en-US"/>
              </w:rPr>
              <w:t>财政资金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813" w:type="dxa"/>
          </w:tcPr>
          <w:p>
            <w:pPr>
              <w:pStyle w:val="35"/>
              <w:spacing w:line="238" w:lineRule="exact"/>
              <w:ind w:left="4"/>
              <w:jc w:val="center"/>
              <w:rPr>
                <w:rFonts w:ascii="Times New Roman"/>
                <w:kern w:val="2"/>
                <w:sz w:val="24"/>
                <w:szCs w:val="24"/>
              </w:rPr>
            </w:pPr>
            <w:r>
              <w:rPr>
                <w:rFonts w:ascii="Times New Roman"/>
                <w:w w:val="99"/>
                <w:kern w:val="2"/>
                <w:sz w:val="24"/>
                <w:szCs w:val="24"/>
              </w:rPr>
              <w:t>5</w:t>
            </w:r>
          </w:p>
        </w:tc>
        <w:tc>
          <w:tcPr>
            <w:tcW w:w="1787" w:type="dxa"/>
            <w:vAlign w:val="center"/>
          </w:tcPr>
          <w:p>
            <w:pPr>
              <w:pStyle w:val="35"/>
              <w:spacing w:line="251" w:lineRule="exact"/>
              <w:ind w:left="430" w:right="160"/>
              <w:jc w:val="center"/>
              <w:rPr>
                <w:kern w:val="2"/>
                <w:sz w:val="24"/>
                <w:szCs w:val="24"/>
              </w:rPr>
            </w:pPr>
            <w:r>
              <w:rPr>
                <w:kern w:val="2"/>
                <w:sz w:val="24"/>
                <w:szCs w:val="24"/>
              </w:rPr>
              <w:t>招标方式</w:t>
            </w:r>
          </w:p>
        </w:tc>
        <w:tc>
          <w:tcPr>
            <w:tcW w:w="6884" w:type="dxa"/>
            <w:vAlign w:val="center"/>
          </w:tcPr>
          <w:p>
            <w:pPr>
              <w:pStyle w:val="35"/>
              <w:spacing w:before="99" w:line="364" w:lineRule="auto"/>
              <w:ind w:left="106" w:right="9"/>
              <w:rPr>
                <w:kern w:val="2"/>
                <w:sz w:val="24"/>
                <w:szCs w:val="24"/>
                <w:lang w:val="en-US"/>
              </w:rPr>
            </w:pPr>
            <w:r>
              <w:rPr>
                <w:rFonts w:hint="eastAsia"/>
                <w:kern w:val="2"/>
                <w:sz w:val="24"/>
                <w:szCs w:val="24"/>
                <w:lang w:val="en-US"/>
              </w:rPr>
              <w:t>公开招标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jc w:val="center"/>
        </w:trPr>
        <w:tc>
          <w:tcPr>
            <w:tcW w:w="813" w:type="dxa"/>
          </w:tcPr>
          <w:p>
            <w:pPr>
              <w:pStyle w:val="35"/>
              <w:spacing w:before="16"/>
              <w:ind w:left="4"/>
              <w:jc w:val="center"/>
              <w:rPr>
                <w:rFonts w:ascii="Times New Roman"/>
                <w:kern w:val="2"/>
                <w:sz w:val="24"/>
                <w:szCs w:val="24"/>
              </w:rPr>
            </w:pPr>
            <w:r>
              <w:rPr>
                <w:rFonts w:ascii="Times New Roman"/>
                <w:w w:val="99"/>
                <w:kern w:val="2"/>
                <w:sz w:val="24"/>
                <w:szCs w:val="24"/>
              </w:rPr>
              <w:t>6</w:t>
            </w:r>
          </w:p>
        </w:tc>
        <w:tc>
          <w:tcPr>
            <w:tcW w:w="1787" w:type="dxa"/>
            <w:vAlign w:val="center"/>
          </w:tcPr>
          <w:p>
            <w:pPr>
              <w:pStyle w:val="35"/>
              <w:spacing w:before="17"/>
              <w:ind w:left="430" w:right="160"/>
              <w:jc w:val="center"/>
              <w:rPr>
                <w:kern w:val="2"/>
                <w:sz w:val="24"/>
                <w:szCs w:val="24"/>
              </w:rPr>
            </w:pPr>
            <w:r>
              <w:rPr>
                <w:kern w:val="2"/>
                <w:sz w:val="24"/>
                <w:szCs w:val="24"/>
              </w:rPr>
              <w:t>招标内容</w:t>
            </w:r>
          </w:p>
        </w:tc>
        <w:tc>
          <w:tcPr>
            <w:tcW w:w="6884" w:type="dxa"/>
            <w:vAlign w:val="center"/>
          </w:tcPr>
          <w:p>
            <w:pPr>
              <w:pStyle w:val="35"/>
              <w:spacing w:before="99" w:line="364" w:lineRule="auto"/>
              <w:ind w:left="106" w:right="9"/>
              <w:rPr>
                <w:kern w:val="2"/>
                <w:sz w:val="24"/>
                <w:szCs w:val="24"/>
                <w:lang w:val="en-US"/>
              </w:rPr>
            </w:pPr>
            <w:r>
              <w:rPr>
                <w:rFonts w:hint="eastAsia"/>
                <w:kern w:val="2"/>
                <w:sz w:val="24"/>
                <w:szCs w:val="24"/>
                <w:lang w:val="en-US"/>
              </w:rPr>
              <w:t xml:space="preserve">遵义市中医院关于互联网医院建设项目采购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13" w:type="dxa"/>
          </w:tcPr>
          <w:p>
            <w:pPr>
              <w:pStyle w:val="35"/>
              <w:spacing w:before="135"/>
              <w:ind w:left="4"/>
              <w:jc w:val="center"/>
              <w:rPr>
                <w:rFonts w:ascii="Times New Roman"/>
                <w:kern w:val="2"/>
                <w:sz w:val="24"/>
                <w:szCs w:val="24"/>
              </w:rPr>
            </w:pPr>
            <w:r>
              <w:rPr>
                <w:rFonts w:ascii="Times New Roman"/>
                <w:w w:val="99"/>
                <w:kern w:val="2"/>
                <w:sz w:val="24"/>
                <w:szCs w:val="24"/>
              </w:rPr>
              <w:t>7</w:t>
            </w:r>
          </w:p>
        </w:tc>
        <w:tc>
          <w:tcPr>
            <w:tcW w:w="1787" w:type="dxa"/>
            <w:vAlign w:val="center"/>
          </w:tcPr>
          <w:p>
            <w:pPr>
              <w:pStyle w:val="35"/>
              <w:tabs>
                <w:tab w:val="left" w:pos="0"/>
              </w:tabs>
              <w:spacing w:before="135" w:line="244" w:lineRule="auto"/>
              <w:ind w:right="25"/>
              <w:jc w:val="center"/>
              <w:rPr>
                <w:color w:val="FF0000"/>
                <w:kern w:val="2"/>
                <w:sz w:val="24"/>
                <w:szCs w:val="24"/>
              </w:rPr>
            </w:pPr>
            <w:r>
              <w:rPr>
                <w:rFonts w:hint="eastAsia"/>
                <w:sz w:val="24"/>
                <w:szCs w:val="24"/>
                <w:lang w:val="en-US"/>
              </w:rPr>
              <w:t>合同履行期限</w:t>
            </w:r>
          </w:p>
        </w:tc>
        <w:tc>
          <w:tcPr>
            <w:tcW w:w="6884" w:type="dxa"/>
            <w:vAlign w:val="center"/>
          </w:tcPr>
          <w:p>
            <w:pPr>
              <w:pStyle w:val="35"/>
              <w:spacing w:before="99" w:line="364" w:lineRule="auto"/>
              <w:ind w:left="106" w:right="9"/>
              <w:rPr>
                <w:kern w:val="2"/>
                <w:sz w:val="24"/>
                <w:szCs w:val="24"/>
                <w:lang w:val="en-US"/>
              </w:rPr>
            </w:pPr>
            <w:r>
              <w:rPr>
                <w:rFonts w:hint="eastAsia"/>
                <w:sz w:val="24"/>
                <w:szCs w:val="24"/>
                <w:highlight w:val="yellow"/>
                <w:u w:val="single"/>
                <w:lang w:val="en-US"/>
              </w:rPr>
              <w:t xml:space="preserve"> 180天内完成实施并通过验收</w:t>
            </w:r>
            <w:r>
              <w:rPr>
                <w:rFonts w:hint="eastAsia"/>
                <w:sz w:val="24"/>
                <w:szCs w:val="24"/>
                <w:highlight w:val="yellow"/>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13" w:type="dxa"/>
          </w:tcPr>
          <w:p>
            <w:pPr>
              <w:pStyle w:val="35"/>
              <w:rPr>
                <w:rFonts w:ascii="黑体"/>
                <w:b/>
                <w:kern w:val="2"/>
                <w:sz w:val="24"/>
                <w:szCs w:val="24"/>
              </w:rPr>
            </w:pPr>
          </w:p>
          <w:p>
            <w:pPr>
              <w:pStyle w:val="35"/>
              <w:rPr>
                <w:rFonts w:ascii="黑体"/>
                <w:b/>
                <w:kern w:val="2"/>
                <w:sz w:val="24"/>
                <w:szCs w:val="24"/>
              </w:rPr>
            </w:pPr>
          </w:p>
          <w:p>
            <w:pPr>
              <w:pStyle w:val="35"/>
              <w:spacing w:before="185"/>
              <w:ind w:left="4"/>
              <w:jc w:val="center"/>
              <w:rPr>
                <w:rFonts w:ascii="Times New Roman"/>
                <w:kern w:val="2"/>
                <w:sz w:val="24"/>
                <w:szCs w:val="24"/>
              </w:rPr>
            </w:pPr>
            <w:r>
              <w:rPr>
                <w:rFonts w:ascii="Times New Roman"/>
                <w:w w:val="99"/>
                <w:kern w:val="2"/>
                <w:sz w:val="24"/>
                <w:szCs w:val="24"/>
              </w:rPr>
              <w:t>8</w:t>
            </w:r>
          </w:p>
        </w:tc>
        <w:tc>
          <w:tcPr>
            <w:tcW w:w="1787" w:type="dxa"/>
          </w:tcPr>
          <w:p>
            <w:pPr>
              <w:pStyle w:val="35"/>
              <w:rPr>
                <w:rFonts w:ascii="黑体"/>
                <w:b/>
                <w:kern w:val="2"/>
                <w:sz w:val="24"/>
                <w:szCs w:val="24"/>
              </w:rPr>
            </w:pPr>
          </w:p>
          <w:p>
            <w:pPr>
              <w:pStyle w:val="35"/>
              <w:rPr>
                <w:rFonts w:ascii="黑体"/>
                <w:b/>
                <w:kern w:val="2"/>
                <w:sz w:val="24"/>
                <w:szCs w:val="24"/>
              </w:rPr>
            </w:pPr>
          </w:p>
          <w:p>
            <w:pPr>
              <w:pStyle w:val="35"/>
              <w:spacing w:before="6"/>
              <w:rPr>
                <w:rFonts w:ascii="黑体"/>
                <w:b/>
                <w:kern w:val="2"/>
                <w:sz w:val="24"/>
                <w:szCs w:val="24"/>
              </w:rPr>
            </w:pPr>
          </w:p>
          <w:p>
            <w:pPr>
              <w:pStyle w:val="35"/>
              <w:ind w:right="427" w:firstLine="240" w:firstLineChars="100"/>
              <w:jc w:val="both"/>
              <w:rPr>
                <w:kern w:val="2"/>
                <w:sz w:val="24"/>
                <w:szCs w:val="24"/>
              </w:rPr>
            </w:pPr>
            <w:r>
              <w:rPr>
                <w:kern w:val="2"/>
                <w:sz w:val="24"/>
                <w:szCs w:val="24"/>
              </w:rPr>
              <w:t>资格条件</w:t>
            </w:r>
          </w:p>
        </w:tc>
        <w:tc>
          <w:tcPr>
            <w:tcW w:w="6884" w:type="dxa"/>
          </w:tcPr>
          <w:p>
            <w:pPr>
              <w:spacing w:line="360" w:lineRule="exact"/>
              <w:ind w:firstLine="480" w:firstLineChars="200"/>
              <w:rPr>
                <w:kern w:val="2"/>
                <w:sz w:val="24"/>
                <w:szCs w:val="24"/>
                <w:lang w:val="en-US"/>
              </w:rPr>
            </w:pPr>
            <w:r>
              <w:rPr>
                <w:rFonts w:hint="eastAsia"/>
                <w:kern w:val="2"/>
                <w:sz w:val="24"/>
                <w:szCs w:val="24"/>
                <w:lang w:val="en-US"/>
              </w:rPr>
              <w:t>1.满足《中华人民共和国政府采购法》第二十二条规定；（1）具有独立承担民事责任的能力：提供法人或其他组织的营业执照等证明文件，或自然人身份证明；在中国境内依法注册并具有有效独立法人资格；（2）具有良好的商业信誉和健全的财务会计制度：具体要求：提供2020年或2021年财务审计报告</w:t>
            </w:r>
            <w:r>
              <w:rPr>
                <w:rFonts w:hint="eastAsia"/>
                <w:sz w:val="24"/>
                <w:szCs w:val="24"/>
              </w:rPr>
              <w:t>（含财务报表）</w:t>
            </w:r>
            <w:r>
              <w:rPr>
                <w:rFonts w:hint="eastAsia"/>
                <w:kern w:val="2"/>
                <w:sz w:val="24"/>
                <w:szCs w:val="24"/>
                <w:lang w:val="en-US"/>
              </w:rPr>
              <w:t>或自行承诺（3）具有履行合同所必须的设备和专业技术能力：提供相关证明材料或自行承诺；（4）具有依法缴纳税收和社会保障资金的良好记录：具体要求：近3个月的缴纳税收和社会保障资金的相关材料</w:t>
            </w:r>
            <w:r>
              <w:rPr>
                <w:rFonts w:hint="eastAsia"/>
                <w:sz w:val="24"/>
                <w:szCs w:val="24"/>
              </w:rPr>
              <w:t>或自行承</w:t>
            </w:r>
            <w:r>
              <w:rPr>
                <w:rFonts w:hint="eastAsia"/>
                <w:sz w:val="24"/>
                <w:szCs w:val="24"/>
                <w:lang w:val="en-US"/>
              </w:rPr>
              <w:t>诺</w:t>
            </w:r>
            <w:r>
              <w:rPr>
                <w:rFonts w:hint="eastAsia"/>
                <w:kern w:val="2"/>
                <w:sz w:val="24"/>
                <w:szCs w:val="24"/>
                <w:lang w:val="en-US"/>
              </w:rPr>
              <w:t>；（5）参加本次采购活动前三年内，在经营活动中没有违法违规记录：提供参加采购活动前3年内在经营活动中没有重大违法记录的书面声明（格式自拟）；（6）法律、行政法规规定的其他条件：提供“信用中国”网站和中国政府采购网未被列入失信被执行人、重大税收违法案件当事人名单、政府采购严重违法失信行为记录名单的网页截图。</w:t>
            </w:r>
          </w:p>
          <w:p>
            <w:pPr>
              <w:pStyle w:val="35"/>
              <w:spacing w:before="99" w:line="364" w:lineRule="auto"/>
              <w:ind w:left="106" w:right="9"/>
              <w:rPr>
                <w:kern w:val="2"/>
                <w:sz w:val="24"/>
                <w:szCs w:val="24"/>
              </w:rPr>
            </w:pPr>
            <w:r>
              <w:rPr>
                <w:rFonts w:hint="eastAsia"/>
                <w:kern w:val="2"/>
                <w:sz w:val="24"/>
                <w:szCs w:val="24"/>
                <w:lang w:val="en-US"/>
              </w:rPr>
              <w:t>2.本项目的特定资格要求：无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13" w:type="dxa"/>
          </w:tcPr>
          <w:p>
            <w:pPr>
              <w:pStyle w:val="35"/>
              <w:spacing w:before="2"/>
              <w:rPr>
                <w:rFonts w:ascii="黑体"/>
                <w:b/>
                <w:kern w:val="2"/>
                <w:sz w:val="24"/>
                <w:szCs w:val="24"/>
              </w:rPr>
            </w:pPr>
          </w:p>
          <w:p>
            <w:pPr>
              <w:pStyle w:val="35"/>
              <w:ind w:right="344"/>
              <w:jc w:val="right"/>
              <w:rPr>
                <w:rFonts w:ascii="Times New Roman"/>
                <w:kern w:val="2"/>
                <w:sz w:val="24"/>
                <w:szCs w:val="24"/>
              </w:rPr>
            </w:pPr>
            <w:r>
              <w:rPr>
                <w:rFonts w:ascii="Times New Roman"/>
                <w:w w:val="99"/>
                <w:kern w:val="2"/>
                <w:sz w:val="24"/>
                <w:szCs w:val="24"/>
              </w:rPr>
              <w:t>9</w:t>
            </w:r>
          </w:p>
        </w:tc>
        <w:tc>
          <w:tcPr>
            <w:tcW w:w="1787" w:type="dxa"/>
          </w:tcPr>
          <w:p>
            <w:pPr>
              <w:pStyle w:val="35"/>
              <w:spacing w:before="2"/>
              <w:ind w:left="107"/>
              <w:rPr>
                <w:kern w:val="2"/>
                <w:sz w:val="24"/>
                <w:szCs w:val="24"/>
              </w:rPr>
            </w:pPr>
            <w:r>
              <w:rPr>
                <w:kern w:val="2"/>
                <w:sz w:val="24"/>
                <w:szCs w:val="24"/>
              </w:rPr>
              <w:t>投标供应商要求澄清招标文件（对招标文件提出异议）的截止时间</w:t>
            </w:r>
          </w:p>
        </w:tc>
        <w:tc>
          <w:tcPr>
            <w:tcW w:w="6884" w:type="dxa"/>
          </w:tcPr>
          <w:p>
            <w:pPr>
              <w:pStyle w:val="35"/>
              <w:spacing w:before="99" w:line="364" w:lineRule="auto"/>
              <w:ind w:left="106" w:right="9"/>
              <w:rPr>
                <w:kern w:val="2"/>
                <w:sz w:val="24"/>
                <w:szCs w:val="24"/>
                <w:lang w:val="en-US"/>
              </w:rPr>
            </w:pPr>
            <w:r>
              <w:rPr>
                <w:rFonts w:hint="eastAsia"/>
                <w:kern w:val="2"/>
                <w:sz w:val="24"/>
                <w:szCs w:val="24"/>
                <w:lang w:val="en-US"/>
              </w:rPr>
              <w:t>投标供应商要求对招标文件进行澄清的，公告发布之日起 7 个工作日内通过全国公共资源交易平台（贵州省.遵义市）会员系统向采购人提出。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13" w:type="dxa"/>
          </w:tcPr>
          <w:p>
            <w:pPr>
              <w:pStyle w:val="35"/>
              <w:spacing w:before="134"/>
              <w:ind w:right="289"/>
              <w:jc w:val="right"/>
              <w:rPr>
                <w:rFonts w:ascii="Times New Roman"/>
                <w:kern w:val="2"/>
                <w:sz w:val="24"/>
                <w:szCs w:val="24"/>
              </w:rPr>
            </w:pPr>
            <w:r>
              <w:rPr>
                <w:rFonts w:ascii="Times New Roman"/>
                <w:kern w:val="2"/>
                <w:sz w:val="24"/>
                <w:szCs w:val="24"/>
              </w:rPr>
              <w:t>10</w:t>
            </w:r>
          </w:p>
        </w:tc>
        <w:tc>
          <w:tcPr>
            <w:tcW w:w="1787" w:type="dxa"/>
          </w:tcPr>
          <w:p>
            <w:pPr>
              <w:pStyle w:val="35"/>
              <w:spacing w:line="364" w:lineRule="auto"/>
              <w:ind w:right="16" w:firstLine="240" w:firstLineChars="100"/>
              <w:rPr>
                <w:kern w:val="2"/>
                <w:sz w:val="24"/>
                <w:szCs w:val="24"/>
              </w:rPr>
            </w:pPr>
            <w:r>
              <w:rPr>
                <w:rFonts w:hint="eastAsia"/>
                <w:kern w:val="2"/>
                <w:sz w:val="24"/>
                <w:szCs w:val="24"/>
              </w:rPr>
              <w:t>采购人书面澄清的时间</w:t>
            </w:r>
          </w:p>
        </w:tc>
        <w:tc>
          <w:tcPr>
            <w:tcW w:w="6884" w:type="dxa"/>
          </w:tcPr>
          <w:p>
            <w:pPr>
              <w:pStyle w:val="35"/>
              <w:spacing w:before="99" w:line="364" w:lineRule="auto"/>
              <w:ind w:left="106" w:right="9"/>
              <w:rPr>
                <w:kern w:val="2"/>
                <w:sz w:val="24"/>
                <w:szCs w:val="24"/>
                <w:lang w:val="en-US"/>
              </w:rPr>
            </w:pPr>
            <w:r>
              <w:rPr>
                <w:rFonts w:hint="eastAsia"/>
                <w:kern w:val="2"/>
                <w:sz w:val="24"/>
                <w:szCs w:val="24"/>
                <w:lang w:val="en-US"/>
              </w:rPr>
              <w:t>采购人对已发出的招标文件进行澄清或者修改，将在招标文件要求的提交投标文件截止时间15日前进行，并将澄清或者修改的内容在全国公共资源交易平台（贵州省.遵义市）会员系统上公布，投标供应商自行登录系统查阅或下载。该澄清或者修改的内容为招标文件的组成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13" w:type="dxa"/>
          </w:tcPr>
          <w:p>
            <w:pPr>
              <w:pStyle w:val="35"/>
              <w:rPr>
                <w:rFonts w:ascii="黑体"/>
                <w:b/>
                <w:kern w:val="2"/>
                <w:sz w:val="24"/>
                <w:szCs w:val="24"/>
              </w:rPr>
            </w:pPr>
          </w:p>
          <w:p>
            <w:pPr>
              <w:pStyle w:val="35"/>
              <w:spacing w:before="12"/>
              <w:rPr>
                <w:rFonts w:ascii="黑体"/>
                <w:b/>
                <w:kern w:val="2"/>
                <w:sz w:val="24"/>
                <w:szCs w:val="24"/>
              </w:rPr>
            </w:pPr>
          </w:p>
          <w:p>
            <w:pPr>
              <w:pStyle w:val="35"/>
              <w:ind w:right="289"/>
              <w:jc w:val="right"/>
              <w:rPr>
                <w:rFonts w:ascii="Times New Roman"/>
                <w:kern w:val="2"/>
                <w:sz w:val="24"/>
                <w:szCs w:val="24"/>
              </w:rPr>
            </w:pPr>
            <w:r>
              <w:rPr>
                <w:rFonts w:ascii="Times New Roman"/>
                <w:kern w:val="2"/>
                <w:sz w:val="24"/>
                <w:szCs w:val="24"/>
              </w:rPr>
              <w:t>11</w:t>
            </w:r>
          </w:p>
        </w:tc>
        <w:tc>
          <w:tcPr>
            <w:tcW w:w="1787" w:type="dxa"/>
          </w:tcPr>
          <w:p>
            <w:pPr>
              <w:pStyle w:val="35"/>
              <w:rPr>
                <w:rFonts w:ascii="黑体"/>
                <w:b/>
                <w:kern w:val="2"/>
                <w:sz w:val="24"/>
                <w:szCs w:val="24"/>
              </w:rPr>
            </w:pPr>
          </w:p>
          <w:p>
            <w:pPr>
              <w:pStyle w:val="35"/>
              <w:spacing w:before="12"/>
              <w:rPr>
                <w:rFonts w:ascii="黑体"/>
                <w:b/>
                <w:kern w:val="2"/>
                <w:sz w:val="24"/>
                <w:szCs w:val="24"/>
              </w:rPr>
            </w:pPr>
          </w:p>
          <w:p>
            <w:pPr>
              <w:pStyle w:val="35"/>
              <w:ind w:firstLine="240" w:firstLineChars="100"/>
              <w:rPr>
                <w:kern w:val="2"/>
                <w:sz w:val="24"/>
                <w:szCs w:val="24"/>
              </w:rPr>
            </w:pPr>
            <w:r>
              <w:rPr>
                <w:kern w:val="2"/>
                <w:sz w:val="24"/>
                <w:szCs w:val="24"/>
              </w:rPr>
              <w:t>投标保证金</w:t>
            </w:r>
          </w:p>
        </w:tc>
        <w:tc>
          <w:tcPr>
            <w:tcW w:w="6884" w:type="dxa"/>
          </w:tcPr>
          <w:p>
            <w:pPr>
              <w:pStyle w:val="35"/>
              <w:spacing w:before="99" w:line="365" w:lineRule="auto"/>
              <w:ind w:left="108" w:right="11" w:firstLine="480" w:firstLineChars="200"/>
              <w:rPr>
                <w:kern w:val="2"/>
                <w:sz w:val="24"/>
                <w:szCs w:val="24"/>
                <w:lang w:val="en-US"/>
              </w:rPr>
            </w:pPr>
            <w:r>
              <w:rPr>
                <w:rFonts w:hint="eastAsia"/>
                <w:kern w:val="2"/>
                <w:sz w:val="24"/>
                <w:szCs w:val="24"/>
                <w:lang w:val="en-US"/>
              </w:rPr>
              <w:t>一、投标保证金的缴纳</w:t>
            </w:r>
          </w:p>
          <w:p>
            <w:pPr>
              <w:pStyle w:val="35"/>
              <w:spacing w:before="99" w:line="365" w:lineRule="auto"/>
              <w:ind w:left="108" w:right="11" w:firstLine="480" w:firstLineChars="200"/>
              <w:rPr>
                <w:kern w:val="2"/>
                <w:sz w:val="24"/>
                <w:szCs w:val="24"/>
                <w:lang w:val="en-US"/>
              </w:rPr>
            </w:pPr>
            <w:r>
              <w:rPr>
                <w:rFonts w:hint="eastAsia"/>
                <w:kern w:val="2"/>
                <w:sz w:val="24"/>
                <w:szCs w:val="24"/>
                <w:lang w:val="en-US"/>
              </w:rPr>
              <w:t>投标供应商应在投标截止时间之前，登录全国公共资源交易平台（贵州省.遵义市）会员系统（未注册账号的需注册账号后登录）在网上报名后获取保证金缴纳账户，投标供应商通过其在交易中心登记的基本账户将投标保证金缴纳至该账户（包括电汇、网银和转账），待资金到达保证金缴纳账户后，凭CA密钥登录遵义市公共资源电子交易服务系统查询缴费状态。</w:t>
            </w:r>
          </w:p>
          <w:p>
            <w:pPr>
              <w:pStyle w:val="35"/>
              <w:spacing w:before="99" w:line="365" w:lineRule="auto"/>
              <w:ind w:left="108" w:right="11" w:firstLine="480" w:firstLineChars="200"/>
              <w:rPr>
                <w:kern w:val="2"/>
                <w:sz w:val="24"/>
                <w:szCs w:val="24"/>
                <w:lang w:val="en-US"/>
              </w:rPr>
            </w:pPr>
            <w:r>
              <w:rPr>
                <w:rFonts w:hint="eastAsia"/>
                <w:kern w:val="2"/>
                <w:sz w:val="24"/>
                <w:szCs w:val="24"/>
                <w:lang w:val="en-US"/>
              </w:rPr>
              <w:t xml:space="preserve">投标保证金的总金额：伍万元（人民币） </w:t>
            </w:r>
          </w:p>
          <w:p>
            <w:pPr>
              <w:pStyle w:val="35"/>
              <w:spacing w:before="99" w:line="365" w:lineRule="auto"/>
              <w:ind w:left="108" w:right="11" w:firstLine="480" w:firstLineChars="200"/>
              <w:rPr>
                <w:kern w:val="2"/>
                <w:sz w:val="24"/>
                <w:szCs w:val="24"/>
                <w:lang w:val="en-US"/>
              </w:rPr>
            </w:pPr>
            <w:r>
              <w:rPr>
                <w:rFonts w:hint="eastAsia"/>
                <w:kern w:val="2"/>
                <w:sz w:val="24"/>
                <w:szCs w:val="24"/>
                <w:lang w:val="en-US"/>
              </w:rPr>
              <w:t>开户银行及账号</w:t>
            </w:r>
          </w:p>
          <w:p>
            <w:pPr>
              <w:pStyle w:val="35"/>
              <w:spacing w:before="99" w:line="365" w:lineRule="auto"/>
              <w:ind w:left="108" w:right="11" w:firstLine="480" w:firstLineChars="200"/>
              <w:rPr>
                <w:kern w:val="2"/>
                <w:sz w:val="24"/>
                <w:szCs w:val="24"/>
                <w:lang w:val="en-US"/>
              </w:rPr>
            </w:pPr>
            <w:r>
              <w:rPr>
                <w:rFonts w:hint="eastAsia"/>
                <w:kern w:val="2"/>
                <w:sz w:val="24"/>
                <w:szCs w:val="24"/>
                <w:lang w:val="en-US"/>
              </w:rPr>
              <w:t>单位名称: 遵义市公共资源交易中心</w:t>
            </w:r>
          </w:p>
          <w:p>
            <w:pPr>
              <w:pStyle w:val="35"/>
              <w:spacing w:before="99" w:line="365" w:lineRule="auto"/>
              <w:ind w:left="108" w:right="11" w:firstLine="480" w:firstLineChars="200"/>
              <w:rPr>
                <w:kern w:val="2"/>
                <w:sz w:val="24"/>
                <w:szCs w:val="24"/>
                <w:lang w:val="en-US"/>
              </w:rPr>
            </w:pPr>
            <w:r>
              <w:rPr>
                <w:rFonts w:hint="eastAsia"/>
                <w:kern w:val="2"/>
                <w:sz w:val="24"/>
                <w:szCs w:val="24"/>
                <w:lang w:val="en-US"/>
              </w:rPr>
              <w:t>开户银行: 交通银行遵义分行厦门路支行</w:t>
            </w:r>
          </w:p>
          <w:p>
            <w:pPr>
              <w:pStyle w:val="35"/>
              <w:spacing w:before="99" w:line="365" w:lineRule="auto"/>
              <w:ind w:left="108" w:right="11" w:firstLine="480" w:firstLineChars="200"/>
              <w:rPr>
                <w:kern w:val="2"/>
                <w:sz w:val="24"/>
                <w:szCs w:val="24"/>
                <w:lang w:val="en-US"/>
              </w:rPr>
            </w:pPr>
            <w:r>
              <w:rPr>
                <w:rFonts w:hint="eastAsia"/>
                <w:kern w:val="2"/>
                <w:sz w:val="24"/>
                <w:szCs w:val="24"/>
                <w:lang w:val="en-US"/>
              </w:rPr>
              <w:t>帐号: 523061500018150073564</w:t>
            </w:r>
          </w:p>
          <w:p>
            <w:pPr>
              <w:pStyle w:val="35"/>
              <w:spacing w:before="99" w:line="365" w:lineRule="auto"/>
              <w:ind w:left="108" w:right="11" w:firstLine="480" w:firstLineChars="200"/>
              <w:rPr>
                <w:kern w:val="2"/>
                <w:sz w:val="24"/>
                <w:szCs w:val="24"/>
                <w:lang w:val="en-US"/>
              </w:rPr>
            </w:pPr>
            <w:r>
              <w:rPr>
                <w:rFonts w:hint="eastAsia"/>
                <w:kern w:val="2"/>
                <w:sz w:val="24"/>
                <w:szCs w:val="24"/>
                <w:lang w:val="en-US"/>
              </w:rPr>
              <w:t>若在资格预审阶段已提交资格预审保证金的，在招标阶段不再提交。资格预审保证金转为投标保证金。</w:t>
            </w:r>
          </w:p>
          <w:p>
            <w:pPr>
              <w:pStyle w:val="35"/>
              <w:spacing w:before="99" w:line="365" w:lineRule="auto"/>
              <w:ind w:left="108" w:right="11" w:firstLine="480" w:firstLineChars="200"/>
              <w:rPr>
                <w:kern w:val="2"/>
                <w:sz w:val="24"/>
                <w:szCs w:val="24"/>
                <w:lang w:val="en-US"/>
              </w:rPr>
            </w:pPr>
            <w:r>
              <w:rPr>
                <w:rFonts w:hint="eastAsia"/>
                <w:kern w:val="2"/>
                <w:sz w:val="24"/>
                <w:szCs w:val="24"/>
                <w:lang w:val="en-US"/>
              </w:rPr>
              <w:t>二、投标保证金的退还</w:t>
            </w:r>
          </w:p>
          <w:p>
            <w:pPr>
              <w:pStyle w:val="35"/>
              <w:spacing w:before="99" w:line="365" w:lineRule="auto"/>
              <w:ind w:left="108" w:right="11" w:firstLine="480" w:firstLineChars="200"/>
              <w:rPr>
                <w:kern w:val="2"/>
                <w:sz w:val="24"/>
                <w:szCs w:val="24"/>
                <w:lang w:val="en-US"/>
              </w:rPr>
            </w:pPr>
            <w:r>
              <w:rPr>
                <w:rFonts w:hint="eastAsia"/>
                <w:kern w:val="2"/>
                <w:sz w:val="24"/>
                <w:szCs w:val="24"/>
                <w:lang w:val="en-US"/>
              </w:rPr>
              <w:t>（一）以银行转账方式提交投标保证金的</w:t>
            </w:r>
          </w:p>
          <w:p>
            <w:pPr>
              <w:pStyle w:val="35"/>
              <w:spacing w:before="99" w:line="365" w:lineRule="auto"/>
              <w:ind w:left="108" w:right="11" w:firstLine="480" w:firstLineChars="200"/>
              <w:rPr>
                <w:kern w:val="2"/>
                <w:sz w:val="24"/>
                <w:szCs w:val="24"/>
                <w:lang w:val="en-US"/>
              </w:rPr>
            </w:pPr>
            <w:r>
              <w:rPr>
                <w:rFonts w:hint="eastAsia"/>
                <w:kern w:val="2"/>
                <w:sz w:val="24"/>
                <w:szCs w:val="24"/>
                <w:lang w:val="en-US"/>
              </w:rPr>
              <w:t>中标（成交）公告发布后1个工作日内，由市公共资源交易中心在线返还未中标候选（未成交）单位。</w:t>
            </w:r>
          </w:p>
          <w:p>
            <w:pPr>
              <w:pStyle w:val="35"/>
              <w:spacing w:before="99" w:line="365" w:lineRule="auto"/>
              <w:ind w:left="108" w:right="11" w:firstLine="480" w:firstLineChars="200"/>
              <w:rPr>
                <w:kern w:val="2"/>
                <w:sz w:val="24"/>
                <w:szCs w:val="24"/>
                <w:lang w:val="en-US"/>
              </w:rPr>
            </w:pPr>
            <w:r>
              <w:rPr>
                <w:rFonts w:hint="eastAsia"/>
                <w:kern w:val="2"/>
                <w:sz w:val="24"/>
                <w:szCs w:val="24"/>
                <w:lang w:val="en-US"/>
              </w:rPr>
              <w:t>合同签订后，中标（成交）单位在线提交合同扫描件至中心交易系统，交易中心在1个工作日内返还至中标（成交）单位。</w:t>
            </w:r>
          </w:p>
          <w:p>
            <w:pPr>
              <w:pStyle w:val="35"/>
              <w:spacing w:before="99" w:line="365" w:lineRule="auto"/>
              <w:ind w:left="108" w:right="11" w:firstLine="480" w:firstLineChars="200"/>
              <w:rPr>
                <w:kern w:val="2"/>
                <w:sz w:val="24"/>
                <w:szCs w:val="24"/>
                <w:lang w:val="en-US"/>
              </w:rPr>
            </w:pPr>
            <w:r>
              <w:rPr>
                <w:rFonts w:hint="eastAsia"/>
                <w:kern w:val="2"/>
                <w:sz w:val="24"/>
                <w:szCs w:val="24"/>
                <w:lang w:val="en-US"/>
              </w:rPr>
              <w:t>终止招标的，终止公告发布后1个工作日内，由市公共资源交易中心在线返还投标人（供应商）。</w:t>
            </w:r>
          </w:p>
          <w:p>
            <w:pPr>
              <w:pStyle w:val="35"/>
              <w:spacing w:before="99" w:line="365" w:lineRule="auto"/>
              <w:ind w:left="108" w:right="11" w:firstLine="480" w:firstLineChars="200"/>
              <w:rPr>
                <w:kern w:val="2"/>
                <w:sz w:val="24"/>
                <w:szCs w:val="24"/>
                <w:lang w:val="en-US"/>
              </w:rPr>
            </w:pPr>
            <w:r>
              <w:rPr>
                <w:rFonts w:hint="eastAsia"/>
                <w:kern w:val="2"/>
                <w:sz w:val="24"/>
                <w:szCs w:val="24"/>
                <w:lang w:val="en-US"/>
              </w:rPr>
              <w:t>投标人在投标截止时间前撤回已提交的投标文件的，自收到投标人书面撤回通知之日起1个工作日内，由市公共资源交易中心在线返还投标人（供应商）。</w:t>
            </w:r>
          </w:p>
          <w:p>
            <w:pPr>
              <w:pStyle w:val="35"/>
              <w:spacing w:before="99" w:line="365" w:lineRule="auto"/>
              <w:ind w:left="108" w:right="11" w:firstLine="480" w:firstLineChars="200"/>
              <w:rPr>
                <w:kern w:val="2"/>
                <w:sz w:val="24"/>
                <w:szCs w:val="24"/>
              </w:rPr>
            </w:pPr>
            <w:r>
              <w:rPr>
                <w:rFonts w:hint="eastAsia"/>
                <w:kern w:val="2"/>
                <w:sz w:val="24"/>
                <w:szCs w:val="24"/>
                <w:lang w:val="en-US"/>
              </w:rPr>
              <w:t>（二）银行保函、担保保函、保证保险等原件由招标代理机构或采购人按前款规定时间节点办理。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813" w:type="dxa"/>
          </w:tcPr>
          <w:p>
            <w:pPr>
              <w:pStyle w:val="35"/>
              <w:rPr>
                <w:rFonts w:ascii="黑体"/>
                <w:b/>
                <w:kern w:val="2"/>
                <w:sz w:val="24"/>
                <w:szCs w:val="24"/>
              </w:rPr>
            </w:pPr>
          </w:p>
          <w:p>
            <w:pPr>
              <w:pStyle w:val="35"/>
              <w:ind w:right="373"/>
              <w:jc w:val="right"/>
              <w:rPr>
                <w:rFonts w:ascii="Times New Roman"/>
                <w:kern w:val="2"/>
                <w:sz w:val="24"/>
                <w:szCs w:val="24"/>
              </w:rPr>
            </w:pPr>
            <w:r>
              <w:rPr>
                <w:rFonts w:ascii="Times New Roman"/>
                <w:kern w:val="2"/>
                <w:sz w:val="24"/>
                <w:szCs w:val="24"/>
              </w:rPr>
              <w:t>12</w:t>
            </w:r>
          </w:p>
        </w:tc>
        <w:tc>
          <w:tcPr>
            <w:tcW w:w="1787" w:type="dxa"/>
          </w:tcPr>
          <w:p>
            <w:pPr>
              <w:pStyle w:val="35"/>
              <w:ind w:left="347"/>
              <w:rPr>
                <w:kern w:val="2"/>
                <w:sz w:val="24"/>
                <w:szCs w:val="24"/>
              </w:rPr>
            </w:pPr>
          </w:p>
          <w:p>
            <w:pPr>
              <w:pStyle w:val="35"/>
              <w:ind w:left="347"/>
              <w:rPr>
                <w:kern w:val="2"/>
                <w:sz w:val="24"/>
                <w:szCs w:val="24"/>
              </w:rPr>
            </w:pPr>
            <w:r>
              <w:rPr>
                <w:rFonts w:hint="eastAsia"/>
                <w:kern w:val="2"/>
                <w:sz w:val="24"/>
                <w:szCs w:val="24"/>
              </w:rPr>
              <w:t>采购最高限价</w:t>
            </w:r>
          </w:p>
        </w:tc>
        <w:tc>
          <w:tcPr>
            <w:tcW w:w="6884" w:type="dxa"/>
          </w:tcPr>
          <w:p>
            <w:pPr>
              <w:pStyle w:val="35"/>
              <w:spacing w:before="98" w:line="364" w:lineRule="auto"/>
              <w:ind w:right="191" w:firstLine="241" w:firstLineChars="100"/>
              <w:rPr>
                <w:b/>
                <w:kern w:val="2"/>
                <w:sz w:val="24"/>
                <w:szCs w:val="24"/>
                <w:lang w:val="en-US"/>
              </w:rPr>
            </w:pPr>
            <w:r>
              <w:rPr>
                <w:b/>
                <w:kern w:val="2"/>
                <w:sz w:val="24"/>
                <w:szCs w:val="24"/>
                <w:lang w:val="en-US"/>
              </w:rPr>
              <w:t>本项目采购</w:t>
            </w:r>
            <w:r>
              <w:rPr>
                <w:rFonts w:hint="eastAsia"/>
                <w:b/>
                <w:kern w:val="2"/>
                <w:sz w:val="24"/>
                <w:szCs w:val="24"/>
                <w:lang w:val="en-US"/>
              </w:rPr>
              <w:t>限价</w:t>
            </w:r>
            <w:r>
              <w:rPr>
                <w:b/>
                <w:kern w:val="2"/>
                <w:sz w:val="24"/>
                <w:szCs w:val="24"/>
                <w:lang w:val="en-US"/>
              </w:rPr>
              <w:t>：</w:t>
            </w:r>
            <w:r>
              <w:rPr>
                <w:rFonts w:hint="eastAsia"/>
                <w:b/>
                <w:kern w:val="2"/>
                <w:sz w:val="24"/>
                <w:szCs w:val="24"/>
                <w:lang w:val="en-US"/>
              </w:rPr>
              <w:t>260万</w:t>
            </w:r>
            <w:r>
              <w:rPr>
                <w:b/>
                <w:kern w:val="2"/>
                <w:sz w:val="24"/>
                <w:szCs w:val="24"/>
                <w:lang w:val="en-US"/>
              </w:rPr>
              <w:t>元 （大写：</w:t>
            </w:r>
            <w:r>
              <w:rPr>
                <w:rFonts w:hint="eastAsia"/>
                <w:b/>
                <w:kern w:val="2"/>
                <w:sz w:val="24"/>
                <w:szCs w:val="24"/>
                <w:lang w:val="en-US"/>
              </w:rPr>
              <w:t>贰佰陆拾万元整</w:t>
            </w:r>
            <w:r>
              <w:rPr>
                <w:b/>
                <w:kern w:val="2"/>
                <w:sz w:val="24"/>
                <w:szCs w:val="24"/>
                <w:lang w:val="en-US"/>
              </w:rPr>
              <w:t>）</w:t>
            </w:r>
          </w:p>
          <w:p>
            <w:pPr>
              <w:pStyle w:val="35"/>
              <w:spacing w:before="98" w:line="364" w:lineRule="auto"/>
              <w:ind w:right="191" w:firstLine="241" w:firstLineChars="100"/>
              <w:rPr>
                <w:b/>
                <w:kern w:val="2"/>
                <w:sz w:val="24"/>
                <w:szCs w:val="24"/>
                <w:lang w:val="en-US"/>
              </w:rPr>
            </w:pPr>
            <w:r>
              <w:rPr>
                <w:b/>
                <w:kern w:val="2"/>
                <w:sz w:val="24"/>
                <w:szCs w:val="24"/>
                <w:lang w:val="en-US"/>
              </w:rPr>
              <w:t>供应商不得拦标总价报价，否则视为未响应</w:t>
            </w:r>
            <w:r>
              <w:rPr>
                <w:rFonts w:hint="eastAsia"/>
                <w:b/>
                <w:kern w:val="2"/>
                <w:sz w:val="24"/>
                <w:szCs w:val="24"/>
                <w:lang w:val="en-US"/>
              </w:rPr>
              <w:t>招标文件</w:t>
            </w:r>
            <w:r>
              <w:rPr>
                <w:b/>
                <w:kern w:val="2"/>
                <w:sz w:val="24"/>
                <w:szCs w:val="24"/>
                <w:lang w:val="en-US"/>
              </w:rPr>
              <w:t>实质性要求。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jc w:val="center"/>
        </w:trPr>
        <w:tc>
          <w:tcPr>
            <w:tcW w:w="813" w:type="dxa"/>
          </w:tcPr>
          <w:p>
            <w:pPr>
              <w:pStyle w:val="35"/>
              <w:spacing w:before="12"/>
              <w:rPr>
                <w:rFonts w:ascii="黑体"/>
                <w:b/>
                <w:kern w:val="2"/>
                <w:sz w:val="24"/>
                <w:szCs w:val="24"/>
              </w:rPr>
            </w:pPr>
          </w:p>
          <w:p>
            <w:pPr>
              <w:pStyle w:val="35"/>
              <w:ind w:right="308"/>
              <w:jc w:val="right"/>
              <w:rPr>
                <w:rFonts w:ascii="Times New Roman"/>
                <w:kern w:val="2"/>
                <w:sz w:val="24"/>
                <w:szCs w:val="24"/>
              </w:rPr>
            </w:pPr>
            <w:r>
              <w:rPr>
                <w:rFonts w:ascii="Times New Roman"/>
                <w:kern w:val="2"/>
                <w:sz w:val="24"/>
                <w:szCs w:val="24"/>
              </w:rPr>
              <w:t>13</w:t>
            </w:r>
          </w:p>
        </w:tc>
        <w:tc>
          <w:tcPr>
            <w:tcW w:w="1787" w:type="dxa"/>
          </w:tcPr>
          <w:p>
            <w:pPr>
              <w:pStyle w:val="35"/>
              <w:ind w:left="347"/>
              <w:rPr>
                <w:kern w:val="2"/>
                <w:sz w:val="24"/>
                <w:szCs w:val="24"/>
              </w:rPr>
            </w:pPr>
          </w:p>
          <w:p>
            <w:pPr>
              <w:pStyle w:val="35"/>
              <w:ind w:left="347"/>
              <w:rPr>
                <w:kern w:val="2"/>
                <w:sz w:val="24"/>
                <w:szCs w:val="24"/>
              </w:rPr>
            </w:pPr>
            <w:r>
              <w:rPr>
                <w:kern w:val="2"/>
                <w:sz w:val="24"/>
                <w:szCs w:val="24"/>
              </w:rPr>
              <w:t>签字或盖章要求</w:t>
            </w:r>
          </w:p>
        </w:tc>
        <w:tc>
          <w:tcPr>
            <w:tcW w:w="6884" w:type="dxa"/>
          </w:tcPr>
          <w:p>
            <w:pPr>
              <w:pStyle w:val="35"/>
              <w:spacing w:line="360" w:lineRule="auto"/>
              <w:ind w:left="103"/>
              <w:rPr>
                <w:rFonts w:ascii="Times New Roman"/>
                <w:spacing w:val="2"/>
                <w:kern w:val="2"/>
                <w:sz w:val="24"/>
                <w:szCs w:val="24"/>
              </w:rPr>
            </w:pPr>
            <w:r>
              <w:rPr>
                <w:rFonts w:hint="eastAsia" w:ascii="Times New Roman"/>
                <w:spacing w:val="2"/>
                <w:kern w:val="2"/>
                <w:sz w:val="24"/>
                <w:szCs w:val="24"/>
              </w:rPr>
              <w:t>投标文件按要求盖章、签字（或盖章）；涂改处加盖投标供应商单位章或法定代表人印章。</w:t>
            </w:r>
          </w:p>
          <w:p>
            <w:pPr>
              <w:pStyle w:val="35"/>
              <w:spacing w:line="360" w:lineRule="auto"/>
              <w:ind w:left="103"/>
              <w:rPr>
                <w:rFonts w:ascii="Times New Roman"/>
                <w:spacing w:val="2"/>
                <w:kern w:val="2"/>
                <w:sz w:val="24"/>
                <w:szCs w:val="24"/>
              </w:rPr>
            </w:pPr>
            <w:r>
              <w:rPr>
                <w:rFonts w:hint="eastAsia" w:ascii="Times New Roman"/>
                <w:spacing w:val="2"/>
                <w:kern w:val="2"/>
                <w:sz w:val="24"/>
                <w:szCs w:val="24"/>
              </w:rPr>
              <w:t>（1）所有要求签章的地方都应用本人的CA印章签章。</w:t>
            </w:r>
          </w:p>
          <w:p>
            <w:pPr>
              <w:pStyle w:val="35"/>
              <w:spacing w:line="360" w:lineRule="auto"/>
              <w:ind w:left="103"/>
              <w:rPr>
                <w:rFonts w:ascii="Times New Roman"/>
                <w:spacing w:val="2"/>
                <w:kern w:val="2"/>
                <w:sz w:val="24"/>
                <w:szCs w:val="24"/>
              </w:rPr>
            </w:pPr>
            <w:r>
              <w:rPr>
                <w:rFonts w:hint="eastAsia" w:ascii="Times New Roman"/>
                <w:spacing w:val="2"/>
                <w:kern w:val="2"/>
                <w:sz w:val="24"/>
                <w:szCs w:val="24"/>
              </w:rPr>
              <w:t>（2）所有要求盖章的地方都应加盖投标供应商单位（法定名称）的CA印章。</w:t>
            </w:r>
          </w:p>
          <w:p>
            <w:pPr>
              <w:pStyle w:val="35"/>
              <w:spacing w:line="360" w:lineRule="auto"/>
              <w:ind w:left="103"/>
              <w:rPr>
                <w:kern w:val="2"/>
                <w:sz w:val="24"/>
                <w:szCs w:val="24"/>
              </w:rPr>
            </w:pPr>
            <w:r>
              <w:rPr>
                <w:rFonts w:hint="eastAsia" w:ascii="Times New Roman"/>
                <w:spacing w:val="2"/>
                <w:kern w:val="2"/>
                <w:sz w:val="24"/>
                <w:szCs w:val="24"/>
              </w:rPr>
              <w:t>（3）电子投标文件制作软件未提供</w:t>
            </w:r>
            <w:r>
              <w:rPr>
                <w:rFonts w:hint="eastAsia" w:ascii="Times New Roman"/>
                <w:spacing w:val="2"/>
                <w:kern w:val="2"/>
                <w:sz w:val="24"/>
                <w:szCs w:val="24"/>
                <w:lang w:val="en-US"/>
              </w:rPr>
              <w:t>格</w:t>
            </w:r>
            <w:r>
              <w:rPr>
                <w:rFonts w:hint="eastAsia" w:ascii="Times New Roman"/>
                <w:spacing w:val="2"/>
                <w:kern w:val="2"/>
                <w:sz w:val="24"/>
                <w:szCs w:val="24"/>
              </w:rPr>
              <w:t>式的，由投标供应商按招标文件提供格式制作，在签字、盖章完成后扫描，在投标工具指定位置上传扫描件。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jc w:val="center"/>
        </w:trPr>
        <w:tc>
          <w:tcPr>
            <w:tcW w:w="813" w:type="dxa"/>
            <w:tcBorders>
              <w:bottom w:val="single" w:color="auto" w:sz="4" w:space="0"/>
            </w:tcBorders>
          </w:tcPr>
          <w:p>
            <w:pPr>
              <w:pStyle w:val="35"/>
              <w:ind w:right="308"/>
              <w:jc w:val="right"/>
              <w:rPr>
                <w:rFonts w:ascii="Times New Roman"/>
                <w:kern w:val="2"/>
                <w:sz w:val="24"/>
                <w:szCs w:val="24"/>
              </w:rPr>
            </w:pPr>
            <w:r>
              <w:rPr>
                <w:rFonts w:ascii="Times New Roman"/>
                <w:kern w:val="2"/>
                <w:sz w:val="24"/>
                <w:szCs w:val="24"/>
              </w:rPr>
              <w:t>14</w:t>
            </w:r>
          </w:p>
        </w:tc>
        <w:tc>
          <w:tcPr>
            <w:tcW w:w="1787" w:type="dxa"/>
            <w:tcBorders>
              <w:bottom w:val="single" w:color="auto" w:sz="4" w:space="0"/>
            </w:tcBorders>
          </w:tcPr>
          <w:p>
            <w:pPr>
              <w:pStyle w:val="35"/>
              <w:spacing w:before="1"/>
              <w:ind w:left="450"/>
              <w:rPr>
                <w:kern w:val="2"/>
                <w:sz w:val="24"/>
                <w:szCs w:val="24"/>
              </w:rPr>
            </w:pPr>
            <w:r>
              <w:rPr>
                <w:kern w:val="2"/>
                <w:sz w:val="24"/>
                <w:szCs w:val="24"/>
              </w:rPr>
              <w:t>投标文件份数</w:t>
            </w:r>
          </w:p>
        </w:tc>
        <w:tc>
          <w:tcPr>
            <w:tcW w:w="6884" w:type="dxa"/>
          </w:tcPr>
          <w:p>
            <w:pPr>
              <w:pStyle w:val="35"/>
              <w:spacing w:line="360" w:lineRule="auto"/>
              <w:ind w:left="103"/>
              <w:rPr>
                <w:rFonts w:ascii="Times New Roman"/>
                <w:spacing w:val="2"/>
                <w:kern w:val="2"/>
                <w:sz w:val="24"/>
                <w:szCs w:val="24"/>
              </w:rPr>
            </w:pPr>
            <w:r>
              <w:rPr>
                <w:rFonts w:hint="eastAsia" w:ascii="Times New Roman"/>
                <w:spacing w:val="2"/>
                <w:kern w:val="2"/>
                <w:sz w:val="24"/>
                <w:szCs w:val="24"/>
              </w:rPr>
              <w:t>（1）加密的电子投标文件一份（.ZYTF 格式，在遵义市公共资源电子投标交易服务系统指定位置上传）。</w:t>
            </w:r>
          </w:p>
          <w:p>
            <w:pPr>
              <w:pStyle w:val="35"/>
              <w:spacing w:line="360" w:lineRule="auto"/>
              <w:ind w:left="103"/>
              <w:rPr>
                <w:rFonts w:ascii="Times New Roman"/>
                <w:spacing w:val="-1"/>
                <w:kern w:val="2"/>
                <w:sz w:val="24"/>
                <w:szCs w:val="24"/>
              </w:rPr>
            </w:pPr>
            <w:r>
              <w:rPr>
                <w:rFonts w:hint="eastAsia" w:ascii="Times New Roman"/>
                <w:spacing w:val="-1"/>
                <w:kern w:val="2"/>
                <w:sz w:val="24"/>
                <w:szCs w:val="24"/>
              </w:rPr>
              <w:t>（2）非加密的电子投标文件（.nZYTF 格式）U盘一份（此U盘模式针对投标供应商在遵义市公共资源电子交易服务系统上传了投标文件后，但在开标时其投标文件解密失败的情况下使用）。</w:t>
            </w:r>
          </w:p>
          <w:p>
            <w:pPr>
              <w:pStyle w:val="35"/>
              <w:spacing w:line="360" w:lineRule="auto"/>
              <w:ind w:left="103"/>
              <w:rPr>
                <w:rFonts w:ascii="Times New Roman"/>
                <w:spacing w:val="-1"/>
                <w:sz w:val="24"/>
                <w:szCs w:val="24"/>
              </w:rPr>
            </w:pPr>
            <w:r>
              <w:rPr>
                <w:rFonts w:hint="eastAsia" w:ascii="Times New Roman"/>
                <w:spacing w:val="-1"/>
                <w:kern w:val="2"/>
                <w:sz w:val="24"/>
                <w:szCs w:val="24"/>
              </w:rPr>
              <w:t>（3）如果开标现场解密失败，则采用U盘开评标，要求U盘中电子投标文件</w:t>
            </w:r>
            <w:r>
              <w:rPr>
                <w:rFonts w:hint="eastAsia" w:ascii="Times New Roman"/>
                <w:spacing w:val="-1"/>
                <w:sz w:val="24"/>
                <w:szCs w:val="24"/>
              </w:rPr>
              <w:t>的内容、数据与上传的电子投标文件必须一致，否则投标文件被否决。</w:t>
            </w:r>
          </w:p>
          <w:p>
            <w:pPr>
              <w:pStyle w:val="35"/>
              <w:spacing w:line="360" w:lineRule="auto"/>
              <w:ind w:left="103"/>
              <w:rPr>
                <w:kern w:val="2"/>
                <w:sz w:val="24"/>
                <w:szCs w:val="24"/>
              </w:rPr>
            </w:pPr>
            <w:r>
              <w:rPr>
                <w:rFonts w:hint="eastAsia" w:ascii="Times New Roman"/>
                <w:spacing w:val="-1"/>
                <w:sz w:val="24"/>
                <w:szCs w:val="24"/>
              </w:rPr>
              <w:t>（4）投标供应商在开标时将制作电子投标文件U盘一份带至开标会场备用</w:t>
            </w:r>
            <w:r>
              <w:rPr>
                <w:rFonts w:hint="eastAsia" w:ascii="Times New Roman"/>
                <w:b/>
                <w:bCs/>
                <w:spacing w:val="-1"/>
                <w:sz w:val="24"/>
                <w:szCs w:val="24"/>
              </w:rPr>
              <w:t>（</w:t>
            </w:r>
            <w:r>
              <w:rPr>
                <w:rFonts w:hint="eastAsia" w:ascii="Times New Roman"/>
                <w:b/>
                <w:bCs/>
                <w:spacing w:val="-1"/>
                <w:sz w:val="24"/>
                <w:szCs w:val="24"/>
                <w:lang w:val="en-US"/>
              </w:rPr>
              <w:t>选择远程投标、不见面开标的供应商无需现场提供，在开标后2小时内将投标文件电子档（必须与上传系统的文件保持一致）发送至911090451@qq.com</w:t>
            </w:r>
            <w:r>
              <w:rPr>
                <w:rFonts w:hint="eastAsia" w:ascii="Times New Roman"/>
                <w:b/>
                <w:bCs/>
                <w:spacing w:val="-1"/>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jc w:val="center"/>
        </w:trPr>
        <w:tc>
          <w:tcPr>
            <w:tcW w:w="813" w:type="dxa"/>
            <w:tcBorders>
              <w:top w:val="single" w:color="auto" w:sz="4" w:space="0"/>
            </w:tcBorders>
          </w:tcPr>
          <w:p>
            <w:pPr>
              <w:pStyle w:val="35"/>
              <w:spacing w:before="153"/>
              <w:ind w:left="142" w:right="168"/>
              <w:jc w:val="center"/>
              <w:rPr>
                <w:rFonts w:ascii="Times New Roman"/>
                <w:kern w:val="2"/>
                <w:sz w:val="24"/>
                <w:szCs w:val="24"/>
                <w:lang w:val="en-US"/>
              </w:rPr>
            </w:pPr>
            <w:r>
              <w:rPr>
                <w:rFonts w:hint="eastAsia" w:ascii="Times New Roman"/>
                <w:kern w:val="2"/>
                <w:sz w:val="24"/>
                <w:szCs w:val="24"/>
                <w:lang w:val="en-US"/>
              </w:rPr>
              <w:t>15</w:t>
            </w:r>
          </w:p>
        </w:tc>
        <w:tc>
          <w:tcPr>
            <w:tcW w:w="1787" w:type="dxa"/>
            <w:tcBorders>
              <w:top w:val="single" w:color="auto" w:sz="4" w:space="0"/>
            </w:tcBorders>
          </w:tcPr>
          <w:p>
            <w:pPr>
              <w:pStyle w:val="35"/>
              <w:jc w:val="center"/>
              <w:rPr>
                <w:rFonts w:ascii="黑体"/>
                <w:b/>
                <w:kern w:val="2"/>
                <w:sz w:val="24"/>
                <w:szCs w:val="24"/>
              </w:rPr>
            </w:pPr>
          </w:p>
          <w:p>
            <w:pPr>
              <w:pStyle w:val="35"/>
              <w:jc w:val="center"/>
              <w:rPr>
                <w:rFonts w:ascii="黑体"/>
                <w:b/>
                <w:kern w:val="2"/>
                <w:sz w:val="24"/>
                <w:szCs w:val="24"/>
              </w:rPr>
            </w:pPr>
          </w:p>
          <w:p>
            <w:pPr>
              <w:pStyle w:val="35"/>
              <w:jc w:val="center"/>
              <w:rPr>
                <w:rFonts w:ascii="黑体"/>
                <w:b/>
                <w:kern w:val="2"/>
                <w:sz w:val="24"/>
                <w:szCs w:val="24"/>
              </w:rPr>
            </w:pPr>
          </w:p>
          <w:p>
            <w:pPr>
              <w:pStyle w:val="35"/>
              <w:jc w:val="center"/>
              <w:rPr>
                <w:rFonts w:ascii="黑体"/>
                <w:b/>
                <w:kern w:val="2"/>
                <w:sz w:val="24"/>
                <w:szCs w:val="24"/>
              </w:rPr>
            </w:pPr>
          </w:p>
          <w:p>
            <w:pPr>
              <w:pStyle w:val="35"/>
              <w:jc w:val="center"/>
              <w:rPr>
                <w:rFonts w:ascii="黑体"/>
                <w:b/>
                <w:kern w:val="2"/>
                <w:sz w:val="24"/>
                <w:szCs w:val="24"/>
              </w:rPr>
            </w:pPr>
          </w:p>
          <w:p>
            <w:pPr>
              <w:pStyle w:val="35"/>
              <w:jc w:val="center"/>
              <w:rPr>
                <w:kern w:val="2"/>
                <w:sz w:val="24"/>
                <w:szCs w:val="24"/>
              </w:rPr>
            </w:pPr>
            <w:r>
              <w:rPr>
                <w:kern w:val="2"/>
                <w:sz w:val="24"/>
                <w:szCs w:val="24"/>
              </w:rPr>
              <w:t>封套上标记</w:t>
            </w:r>
          </w:p>
        </w:tc>
        <w:tc>
          <w:tcPr>
            <w:tcW w:w="6884" w:type="dxa"/>
          </w:tcPr>
          <w:p>
            <w:pPr>
              <w:pStyle w:val="46"/>
              <w:widowControl/>
              <w:adjustRightInd/>
              <w:spacing w:line="360" w:lineRule="auto"/>
              <w:ind w:left="96"/>
              <w:rPr>
                <w:rFonts w:hint="default" w:ascii="Times New Roman" w:hAnsi="Times New Roman"/>
                <w:kern w:val="2"/>
              </w:rPr>
            </w:pPr>
            <w:r>
              <w:rPr>
                <w:rFonts w:ascii="Times New Roman"/>
                <w:kern w:val="2"/>
              </w:rPr>
              <w:t>电子</w:t>
            </w:r>
            <w:r>
              <w:rPr>
                <w:rFonts w:ascii="Times New Roman"/>
                <w:kern w:val="2"/>
                <w:lang w:val="en-US"/>
              </w:rPr>
              <w:t>U</w:t>
            </w:r>
            <w:r>
              <w:rPr>
                <w:rFonts w:ascii="Times New Roman"/>
                <w:kern w:val="2"/>
              </w:rPr>
              <w:t>盘以贴标签方式标记：</w:t>
            </w:r>
          </w:p>
          <w:p>
            <w:pPr>
              <w:pStyle w:val="46"/>
              <w:widowControl/>
              <w:adjustRightInd/>
              <w:spacing w:line="360" w:lineRule="auto"/>
              <w:ind w:left="1181" w:leftChars="46" w:hanging="1080" w:hangingChars="450"/>
              <w:rPr>
                <w:rFonts w:hint="default" w:ascii="Times New Roman" w:hAnsi="Times New Roman"/>
                <w:kern w:val="2"/>
                <w:u w:val="single"/>
              </w:rPr>
            </w:pPr>
            <w:r>
              <w:rPr>
                <w:rFonts w:ascii="Times New Roman"/>
                <w:kern w:val="2"/>
              </w:rPr>
              <w:t>项目名称：</w:t>
            </w:r>
            <w:r>
              <w:rPr>
                <w:rFonts w:ascii="Times New Roman"/>
                <w:kern w:val="2"/>
                <w:u w:val="single"/>
              </w:rPr>
              <w:t>遵义市中医院关于互联网医院建设项目采购</w:t>
            </w:r>
            <w:r>
              <w:rPr>
                <w:rFonts w:ascii="Times New Roman"/>
                <w:kern w:val="2"/>
              </w:rPr>
              <w:t>投标文件</w:t>
            </w:r>
          </w:p>
          <w:p>
            <w:pPr>
              <w:pStyle w:val="46"/>
              <w:widowControl/>
              <w:adjustRightInd/>
              <w:spacing w:line="360" w:lineRule="auto"/>
              <w:ind w:left="96"/>
              <w:rPr>
                <w:rFonts w:hint="default" w:ascii="Times New Roman" w:hAnsi="Times New Roman"/>
                <w:kern w:val="2"/>
                <w:u w:val="single"/>
                <w:lang w:val="en-US"/>
              </w:rPr>
            </w:pPr>
            <w:r>
              <w:rPr>
                <w:rFonts w:ascii="Times New Roman"/>
                <w:kern w:val="2"/>
              </w:rPr>
              <w:t>采购人名称：</w:t>
            </w:r>
            <w:r>
              <w:rPr>
                <w:rFonts w:ascii="Times New Roman"/>
                <w:kern w:val="2"/>
                <w:u w:val="single"/>
              </w:rPr>
              <w:t xml:space="preserve">遵义市中医院 </w:t>
            </w:r>
          </w:p>
          <w:p>
            <w:pPr>
              <w:pStyle w:val="35"/>
              <w:spacing w:before="8" w:line="360" w:lineRule="auto"/>
              <w:ind w:left="5" w:right="1525" w:firstLine="96"/>
              <w:rPr>
                <w:kern w:val="2"/>
                <w:sz w:val="24"/>
                <w:szCs w:val="24"/>
              </w:rPr>
            </w:pPr>
            <w:r>
              <w:rPr>
                <w:rFonts w:ascii="Times New Roman"/>
                <w:kern w:val="2"/>
                <w:sz w:val="24"/>
                <w:szCs w:val="24"/>
              </w:rPr>
              <w:t>投标供应商名称：（盖单位</w:t>
            </w:r>
            <w:r>
              <w:rPr>
                <w:rFonts w:hint="eastAsia" w:ascii="Times New Roman"/>
                <w:kern w:val="2"/>
                <w:sz w:val="24"/>
                <w:szCs w:val="24"/>
              </w:rPr>
              <w:t>鲜</w:t>
            </w:r>
            <w:r>
              <w:rPr>
                <w:rFonts w:ascii="Times New Roman"/>
                <w:kern w:val="2"/>
                <w:sz w:val="24"/>
                <w:szCs w:val="24"/>
              </w:rPr>
              <w:t>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813" w:type="dxa"/>
          </w:tcPr>
          <w:p>
            <w:pPr>
              <w:pStyle w:val="35"/>
              <w:spacing w:before="50"/>
              <w:ind w:left="142" w:right="168"/>
              <w:jc w:val="center"/>
              <w:rPr>
                <w:rFonts w:ascii="Times New Roman"/>
                <w:kern w:val="2"/>
                <w:sz w:val="24"/>
                <w:szCs w:val="24"/>
              </w:rPr>
            </w:pPr>
            <w:r>
              <w:rPr>
                <w:rFonts w:ascii="Times New Roman"/>
                <w:kern w:val="2"/>
                <w:sz w:val="24"/>
                <w:szCs w:val="24"/>
              </w:rPr>
              <w:t>16</w:t>
            </w:r>
          </w:p>
        </w:tc>
        <w:tc>
          <w:tcPr>
            <w:tcW w:w="1787" w:type="dxa"/>
          </w:tcPr>
          <w:p>
            <w:pPr>
              <w:pStyle w:val="35"/>
              <w:spacing w:before="48"/>
              <w:jc w:val="center"/>
              <w:rPr>
                <w:kern w:val="2"/>
                <w:sz w:val="24"/>
                <w:szCs w:val="24"/>
              </w:rPr>
            </w:pPr>
            <w:r>
              <w:rPr>
                <w:kern w:val="2"/>
                <w:sz w:val="24"/>
                <w:szCs w:val="24"/>
              </w:rPr>
              <w:t>投标有效期</w:t>
            </w:r>
          </w:p>
        </w:tc>
        <w:tc>
          <w:tcPr>
            <w:tcW w:w="6884" w:type="dxa"/>
          </w:tcPr>
          <w:p>
            <w:pPr>
              <w:pStyle w:val="35"/>
              <w:spacing w:line="360" w:lineRule="auto"/>
              <w:ind w:left="103"/>
              <w:rPr>
                <w:rFonts w:ascii="Times New Roman"/>
                <w:spacing w:val="-1"/>
                <w:sz w:val="24"/>
                <w:szCs w:val="24"/>
              </w:rPr>
            </w:pPr>
            <w:r>
              <w:rPr>
                <w:rFonts w:hint="eastAsia" w:ascii="Times New Roman"/>
                <w:spacing w:val="-1"/>
                <w:sz w:val="24"/>
                <w:szCs w:val="24"/>
              </w:rPr>
              <w:t>开标之日起</w:t>
            </w:r>
            <w:r>
              <w:rPr>
                <w:rFonts w:hint="eastAsia" w:ascii="Times New Roman"/>
                <w:spacing w:val="-1"/>
                <w:sz w:val="24"/>
                <w:szCs w:val="24"/>
                <w:lang w:val="en-US"/>
              </w:rPr>
              <w:t>60</w:t>
            </w:r>
            <w:r>
              <w:rPr>
                <w:rFonts w:hint="eastAsia" w:ascii="Times New Roman"/>
                <w:spacing w:val="-1"/>
                <w:sz w:val="24"/>
                <w:szCs w:val="24"/>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813" w:type="dxa"/>
          </w:tcPr>
          <w:p>
            <w:pPr>
              <w:pStyle w:val="35"/>
              <w:ind w:left="142" w:right="168"/>
              <w:jc w:val="center"/>
              <w:rPr>
                <w:rFonts w:ascii="Times New Roman"/>
                <w:kern w:val="2"/>
                <w:sz w:val="24"/>
                <w:szCs w:val="24"/>
              </w:rPr>
            </w:pPr>
            <w:r>
              <w:rPr>
                <w:rFonts w:ascii="Times New Roman"/>
                <w:kern w:val="2"/>
                <w:sz w:val="24"/>
                <w:szCs w:val="24"/>
              </w:rPr>
              <w:t>17</w:t>
            </w:r>
          </w:p>
        </w:tc>
        <w:tc>
          <w:tcPr>
            <w:tcW w:w="1787" w:type="dxa"/>
          </w:tcPr>
          <w:p>
            <w:pPr>
              <w:pStyle w:val="35"/>
              <w:spacing w:before="1"/>
              <w:jc w:val="center"/>
              <w:rPr>
                <w:kern w:val="2"/>
                <w:sz w:val="24"/>
                <w:szCs w:val="24"/>
              </w:rPr>
            </w:pPr>
            <w:r>
              <w:rPr>
                <w:kern w:val="2"/>
                <w:sz w:val="24"/>
                <w:szCs w:val="24"/>
              </w:rPr>
              <w:t>投标截止时间</w:t>
            </w:r>
          </w:p>
        </w:tc>
        <w:tc>
          <w:tcPr>
            <w:tcW w:w="6884" w:type="dxa"/>
          </w:tcPr>
          <w:p>
            <w:pPr>
              <w:pStyle w:val="35"/>
              <w:spacing w:line="360" w:lineRule="auto"/>
              <w:ind w:left="103"/>
              <w:rPr>
                <w:rFonts w:ascii="Times New Roman"/>
                <w:spacing w:val="-1"/>
                <w:sz w:val="24"/>
                <w:szCs w:val="24"/>
              </w:rPr>
            </w:pPr>
            <w:r>
              <w:rPr>
                <w:rFonts w:hint="eastAsia" w:ascii="Times New Roman"/>
                <w:spacing w:val="-1"/>
                <w:sz w:val="24"/>
                <w:szCs w:val="24"/>
              </w:rPr>
              <w:t>2022 年月日时（以媒体公告为准）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jc w:val="center"/>
        </w:trPr>
        <w:tc>
          <w:tcPr>
            <w:tcW w:w="813" w:type="dxa"/>
          </w:tcPr>
          <w:p>
            <w:pPr>
              <w:pStyle w:val="35"/>
              <w:spacing w:line="241" w:lineRule="exact"/>
              <w:ind w:left="142" w:right="168"/>
              <w:jc w:val="center"/>
              <w:rPr>
                <w:rFonts w:ascii="Times New Roman"/>
                <w:kern w:val="2"/>
                <w:sz w:val="24"/>
                <w:szCs w:val="24"/>
              </w:rPr>
            </w:pPr>
            <w:r>
              <w:rPr>
                <w:rFonts w:ascii="Times New Roman"/>
                <w:kern w:val="2"/>
                <w:sz w:val="24"/>
                <w:szCs w:val="24"/>
              </w:rPr>
              <w:t>18</w:t>
            </w:r>
          </w:p>
        </w:tc>
        <w:tc>
          <w:tcPr>
            <w:tcW w:w="1787" w:type="dxa"/>
          </w:tcPr>
          <w:p>
            <w:pPr>
              <w:pStyle w:val="35"/>
              <w:jc w:val="center"/>
              <w:rPr>
                <w:kern w:val="2"/>
                <w:sz w:val="24"/>
                <w:szCs w:val="24"/>
              </w:rPr>
            </w:pPr>
            <w:r>
              <w:rPr>
                <w:rFonts w:hint="eastAsia" w:ascii="Times New Roman"/>
                <w:spacing w:val="2"/>
                <w:kern w:val="2"/>
                <w:sz w:val="24"/>
                <w:szCs w:val="24"/>
              </w:rPr>
              <w:t>投</w:t>
            </w:r>
            <w:r>
              <w:rPr>
                <w:rFonts w:hint="eastAsia" w:ascii="Times New Roman"/>
                <w:spacing w:val="-1"/>
                <w:kern w:val="2"/>
                <w:sz w:val="24"/>
                <w:szCs w:val="24"/>
              </w:rPr>
              <w:t>标</w:t>
            </w:r>
            <w:r>
              <w:rPr>
                <w:rFonts w:hint="eastAsia" w:ascii="Times New Roman"/>
                <w:spacing w:val="2"/>
                <w:kern w:val="2"/>
                <w:sz w:val="24"/>
                <w:szCs w:val="24"/>
              </w:rPr>
              <w:t>文</w:t>
            </w:r>
            <w:r>
              <w:rPr>
                <w:rFonts w:hint="eastAsia" w:ascii="Times New Roman"/>
                <w:spacing w:val="-1"/>
                <w:kern w:val="2"/>
                <w:sz w:val="24"/>
                <w:szCs w:val="24"/>
              </w:rPr>
              <w:t>件的递交地点及网址</w:t>
            </w:r>
          </w:p>
        </w:tc>
        <w:tc>
          <w:tcPr>
            <w:tcW w:w="6884" w:type="dxa"/>
          </w:tcPr>
          <w:p>
            <w:pPr>
              <w:pStyle w:val="35"/>
              <w:spacing w:line="360" w:lineRule="auto"/>
              <w:ind w:left="103"/>
              <w:rPr>
                <w:rFonts w:ascii="Times New Roman"/>
                <w:spacing w:val="-1"/>
                <w:sz w:val="24"/>
                <w:szCs w:val="24"/>
              </w:rPr>
            </w:pPr>
            <w:r>
              <w:rPr>
                <w:rFonts w:hint="eastAsia" w:ascii="Times New Roman"/>
                <w:spacing w:val="-1"/>
                <w:sz w:val="24"/>
                <w:szCs w:val="24"/>
              </w:rPr>
              <w:t xml:space="preserve">（1）电子投标文件用专用投标文件制作工具制作，生成*.ZYTF（加密）及*.nZYTF（非加密）两份投标文件； </w:t>
            </w:r>
          </w:p>
          <w:p>
            <w:pPr>
              <w:pStyle w:val="35"/>
              <w:spacing w:line="360" w:lineRule="auto"/>
              <w:ind w:left="103"/>
              <w:rPr>
                <w:rFonts w:ascii="Times New Roman"/>
                <w:spacing w:val="-1"/>
                <w:sz w:val="24"/>
                <w:szCs w:val="24"/>
              </w:rPr>
            </w:pPr>
            <w:r>
              <w:rPr>
                <w:rFonts w:hint="eastAsia" w:ascii="Times New Roman"/>
                <w:spacing w:val="-1"/>
                <w:sz w:val="24"/>
                <w:szCs w:val="24"/>
              </w:rPr>
              <w:t xml:space="preserve">（2）各投标供应商应在投标截止时间前上传加密的电子投标文件（.ZYTF格式）到遵义市公共资源电子交易服务系统的指定位置。上传时必须得到系统“上传成功”的确认回复。请投标供应商在上传时认真检查上传投标文件是否完整、正确； </w:t>
            </w:r>
          </w:p>
          <w:p>
            <w:pPr>
              <w:pStyle w:val="35"/>
              <w:spacing w:line="360" w:lineRule="auto"/>
              <w:ind w:left="103"/>
              <w:rPr>
                <w:rFonts w:ascii="Times New Roman"/>
                <w:spacing w:val="-1"/>
                <w:sz w:val="24"/>
                <w:szCs w:val="24"/>
              </w:rPr>
            </w:pPr>
            <w:r>
              <w:rPr>
                <w:rFonts w:hint="eastAsia" w:ascii="Times New Roman"/>
                <w:spacing w:val="-1"/>
                <w:sz w:val="24"/>
                <w:szCs w:val="24"/>
              </w:rPr>
              <w:t>（3）开标现场递交非加密的电子投标文件（.nZYTF 格式）U盘一份</w:t>
            </w:r>
          </w:p>
          <w:p>
            <w:pPr>
              <w:pStyle w:val="35"/>
              <w:spacing w:line="360" w:lineRule="auto"/>
              <w:ind w:left="103"/>
              <w:rPr>
                <w:rFonts w:ascii="Times New Roman"/>
                <w:spacing w:val="-1"/>
                <w:sz w:val="24"/>
                <w:szCs w:val="24"/>
              </w:rPr>
            </w:pPr>
            <w:r>
              <w:rPr>
                <w:rFonts w:hint="eastAsia" w:ascii="Times New Roman"/>
                <w:spacing w:val="-1"/>
                <w:sz w:val="24"/>
                <w:szCs w:val="24"/>
              </w:rPr>
              <w:t xml:space="preserve">（此U盘模式针对投标供应商在遵义市公共资源电子交易服务系统上传了投标文件后，但在开标时其投标文件解密失败的情况下使用。 </w:t>
            </w:r>
          </w:p>
          <w:p>
            <w:pPr>
              <w:pStyle w:val="35"/>
              <w:spacing w:line="360" w:lineRule="auto"/>
              <w:ind w:left="103"/>
              <w:rPr>
                <w:rFonts w:ascii="Times New Roman"/>
                <w:spacing w:val="-1"/>
                <w:sz w:val="24"/>
                <w:szCs w:val="24"/>
              </w:rPr>
            </w:pPr>
            <w:r>
              <w:rPr>
                <w:rFonts w:hint="eastAsia" w:ascii="Times New Roman"/>
                <w:spacing w:val="-1"/>
                <w:sz w:val="24"/>
                <w:szCs w:val="24"/>
              </w:rPr>
              <w:t>（4）投标截止时间招投标系统服务器故障导致投标供应商未及时上传电子投标文件时，经交易中心及系统平台服务商证实，投标供应商提供载有*.ZYTF 及*.nZYTF 两份投标文件的U盘履行电子招标投标应急措施。</w:t>
            </w:r>
          </w:p>
          <w:p>
            <w:pPr>
              <w:pStyle w:val="35"/>
              <w:spacing w:line="360" w:lineRule="auto"/>
              <w:ind w:left="103"/>
              <w:rPr>
                <w:rFonts w:ascii="Times New Roman"/>
                <w:b/>
                <w:bCs/>
                <w:spacing w:val="-1"/>
                <w:sz w:val="24"/>
                <w:szCs w:val="24"/>
              </w:rPr>
            </w:pPr>
            <w:r>
              <w:rPr>
                <w:rFonts w:hint="eastAsia" w:ascii="Times New Roman"/>
                <w:b/>
                <w:bCs/>
                <w:spacing w:val="-1"/>
                <w:sz w:val="24"/>
                <w:szCs w:val="24"/>
              </w:rPr>
              <w:t>重要提示：</w:t>
            </w:r>
          </w:p>
          <w:p>
            <w:pPr>
              <w:pStyle w:val="35"/>
              <w:spacing w:line="360" w:lineRule="auto"/>
              <w:ind w:left="103"/>
              <w:rPr>
                <w:rFonts w:ascii="Times New Roman"/>
                <w:b/>
                <w:bCs/>
                <w:spacing w:val="-1"/>
                <w:sz w:val="24"/>
                <w:szCs w:val="24"/>
              </w:rPr>
            </w:pPr>
            <w:r>
              <w:rPr>
                <w:rFonts w:hint="eastAsia" w:ascii="Times New Roman"/>
                <w:b/>
                <w:bCs/>
                <w:spacing w:val="-1"/>
                <w:sz w:val="24"/>
                <w:szCs w:val="24"/>
                <w:lang w:val="en-US"/>
              </w:rPr>
              <w:t>1.</w:t>
            </w:r>
            <w:r>
              <w:rPr>
                <w:rFonts w:hint="eastAsia" w:ascii="Times New Roman"/>
                <w:b/>
                <w:bCs/>
                <w:spacing w:val="-1"/>
                <w:sz w:val="24"/>
                <w:szCs w:val="24"/>
              </w:rPr>
              <w:t>投标供应商必须携带遵义市招投标系统 CA 锁至开标现场解密。</w:t>
            </w:r>
          </w:p>
          <w:p>
            <w:pPr>
              <w:pStyle w:val="35"/>
              <w:spacing w:line="360" w:lineRule="auto"/>
              <w:ind w:left="103"/>
              <w:rPr>
                <w:rFonts w:ascii="Times New Roman"/>
                <w:b/>
                <w:bCs/>
                <w:spacing w:val="-1"/>
                <w:sz w:val="24"/>
                <w:szCs w:val="24"/>
              </w:rPr>
            </w:pPr>
            <w:r>
              <w:rPr>
                <w:rFonts w:hint="eastAsia"/>
                <w:b/>
                <w:bCs/>
                <w:sz w:val="24"/>
                <w:szCs w:val="24"/>
                <w:lang w:val="en-US"/>
              </w:rPr>
              <w:t>2.该项目投标人可自主选择远程投标、不见面开标，请各投标人通过投标系统中“不见面开标手册”进行学习。开标时间到后请选择远程投标、不见面开标的投标人及时进行投标文件远程解密，开标期未实行远程解密造成投标失败的由投标人自行负责。远程投标、不见面开标过程中遇见问题的请及时联系该项目采购代理机构和采购人，否则按投标无效处理。</w:t>
            </w:r>
          </w:p>
          <w:p>
            <w:pPr>
              <w:pStyle w:val="35"/>
              <w:spacing w:line="360" w:lineRule="auto"/>
              <w:ind w:left="103"/>
              <w:rPr>
                <w:rFonts w:ascii="Times New Roman"/>
                <w:spacing w:val="-1"/>
                <w:sz w:val="24"/>
                <w:szCs w:val="24"/>
              </w:rPr>
            </w:pPr>
            <w:r>
              <w:rPr>
                <w:rFonts w:hint="eastAsia" w:ascii="Times New Roman"/>
                <w:spacing w:val="-1"/>
                <w:sz w:val="24"/>
                <w:szCs w:val="24"/>
              </w:rPr>
              <w:t xml:space="preserve">地 点：遵义市公共资源交易中心（汇川区播州大道东 100 米） </w:t>
            </w:r>
          </w:p>
          <w:p>
            <w:pPr>
              <w:pStyle w:val="35"/>
              <w:spacing w:line="360" w:lineRule="auto"/>
              <w:ind w:left="103"/>
              <w:rPr>
                <w:kern w:val="2"/>
                <w:sz w:val="24"/>
                <w:szCs w:val="24"/>
              </w:rPr>
            </w:pPr>
            <w:r>
              <w:rPr>
                <w:rFonts w:hint="eastAsia" w:ascii="Times New Roman"/>
                <w:spacing w:val="-1"/>
                <w:sz w:val="24"/>
                <w:szCs w:val="24"/>
              </w:rPr>
              <w:t>网 址 ：全国公共资源交易平台（贵州省.遵义市）会员系统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13" w:type="dxa"/>
          </w:tcPr>
          <w:p>
            <w:pPr>
              <w:pStyle w:val="35"/>
              <w:spacing w:before="8"/>
              <w:rPr>
                <w:rFonts w:ascii="黑体"/>
                <w:b/>
                <w:kern w:val="2"/>
                <w:sz w:val="24"/>
                <w:szCs w:val="24"/>
              </w:rPr>
            </w:pPr>
          </w:p>
          <w:p>
            <w:pPr>
              <w:pStyle w:val="35"/>
              <w:ind w:left="142" w:right="168"/>
              <w:jc w:val="center"/>
              <w:rPr>
                <w:rFonts w:ascii="Times New Roman"/>
                <w:kern w:val="2"/>
                <w:sz w:val="24"/>
                <w:szCs w:val="24"/>
              </w:rPr>
            </w:pPr>
            <w:r>
              <w:rPr>
                <w:rFonts w:ascii="Times New Roman"/>
                <w:kern w:val="2"/>
                <w:sz w:val="24"/>
                <w:szCs w:val="24"/>
              </w:rPr>
              <w:t>19</w:t>
            </w:r>
          </w:p>
        </w:tc>
        <w:tc>
          <w:tcPr>
            <w:tcW w:w="1787" w:type="dxa"/>
          </w:tcPr>
          <w:p>
            <w:pPr>
              <w:pStyle w:val="35"/>
              <w:spacing w:before="11"/>
              <w:rPr>
                <w:rFonts w:ascii="黑体"/>
                <w:b/>
                <w:kern w:val="2"/>
                <w:sz w:val="24"/>
                <w:szCs w:val="24"/>
              </w:rPr>
            </w:pPr>
          </w:p>
          <w:p>
            <w:pPr>
              <w:pStyle w:val="35"/>
              <w:ind w:left="347"/>
              <w:rPr>
                <w:kern w:val="2"/>
                <w:sz w:val="24"/>
                <w:szCs w:val="24"/>
              </w:rPr>
            </w:pPr>
            <w:r>
              <w:rPr>
                <w:kern w:val="2"/>
                <w:sz w:val="24"/>
                <w:szCs w:val="24"/>
              </w:rPr>
              <w:t>开标时间和地点</w:t>
            </w:r>
          </w:p>
        </w:tc>
        <w:tc>
          <w:tcPr>
            <w:tcW w:w="6884" w:type="dxa"/>
          </w:tcPr>
          <w:p>
            <w:pPr>
              <w:pStyle w:val="35"/>
              <w:spacing w:line="360" w:lineRule="auto"/>
              <w:ind w:left="103"/>
              <w:rPr>
                <w:rFonts w:ascii="Times New Roman"/>
                <w:spacing w:val="-1"/>
                <w:sz w:val="24"/>
                <w:szCs w:val="24"/>
              </w:rPr>
            </w:pPr>
            <w:r>
              <w:rPr>
                <w:rFonts w:hint="eastAsia" w:ascii="Times New Roman"/>
                <w:spacing w:val="-1"/>
                <w:sz w:val="24"/>
                <w:szCs w:val="24"/>
              </w:rPr>
              <w:t>开标时间：同投标截止时间</w:t>
            </w:r>
          </w:p>
          <w:p>
            <w:pPr>
              <w:pStyle w:val="35"/>
              <w:spacing w:line="360" w:lineRule="auto"/>
              <w:ind w:left="103"/>
              <w:rPr>
                <w:kern w:val="2"/>
                <w:sz w:val="24"/>
                <w:szCs w:val="24"/>
              </w:rPr>
            </w:pPr>
            <w:r>
              <w:rPr>
                <w:rFonts w:hint="eastAsia" w:ascii="Times New Roman"/>
                <w:spacing w:val="-1"/>
                <w:sz w:val="24"/>
                <w:szCs w:val="24"/>
              </w:rPr>
              <w:t>开标地点：遵义市公共资源交易中心（遵义市汇川区播州大道东 100 米（遵义市政务服务中心大楼 9 楼））在投标截止时间以后送达的投标文件将不予以接受。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13" w:type="dxa"/>
            <w:vAlign w:val="center"/>
          </w:tcPr>
          <w:p>
            <w:pPr>
              <w:pStyle w:val="35"/>
              <w:ind w:right="168"/>
              <w:jc w:val="center"/>
              <w:rPr>
                <w:rFonts w:ascii="Times New Roman"/>
                <w:kern w:val="2"/>
                <w:sz w:val="24"/>
                <w:szCs w:val="24"/>
              </w:rPr>
            </w:pPr>
            <w:r>
              <w:rPr>
                <w:rFonts w:hint="eastAsia" w:ascii="Times New Roman"/>
                <w:kern w:val="2"/>
                <w:sz w:val="24"/>
                <w:szCs w:val="24"/>
                <w:lang w:val="en-US"/>
              </w:rPr>
              <w:t xml:space="preserve"> </w:t>
            </w:r>
            <w:r>
              <w:rPr>
                <w:rFonts w:ascii="Times New Roman"/>
                <w:kern w:val="2"/>
                <w:sz w:val="24"/>
                <w:szCs w:val="24"/>
              </w:rPr>
              <w:t>20</w:t>
            </w:r>
          </w:p>
        </w:tc>
        <w:tc>
          <w:tcPr>
            <w:tcW w:w="1787" w:type="dxa"/>
            <w:vAlign w:val="center"/>
          </w:tcPr>
          <w:p>
            <w:pPr>
              <w:pStyle w:val="35"/>
              <w:jc w:val="center"/>
              <w:rPr>
                <w:kern w:val="2"/>
                <w:sz w:val="24"/>
                <w:szCs w:val="24"/>
              </w:rPr>
            </w:pPr>
            <w:r>
              <w:rPr>
                <w:kern w:val="2"/>
                <w:sz w:val="24"/>
                <w:szCs w:val="24"/>
              </w:rPr>
              <w:t>开标程序</w:t>
            </w:r>
          </w:p>
        </w:tc>
        <w:tc>
          <w:tcPr>
            <w:tcW w:w="6884" w:type="dxa"/>
          </w:tcPr>
          <w:p>
            <w:pPr>
              <w:pStyle w:val="35"/>
              <w:spacing w:line="360" w:lineRule="auto"/>
              <w:ind w:left="103"/>
              <w:rPr>
                <w:rFonts w:ascii="Times New Roman"/>
                <w:b/>
                <w:bCs/>
                <w:spacing w:val="-1"/>
                <w:sz w:val="24"/>
                <w:szCs w:val="24"/>
              </w:rPr>
            </w:pPr>
            <w:r>
              <w:rPr>
                <w:rFonts w:hint="eastAsia" w:ascii="Times New Roman"/>
                <w:b/>
                <w:bCs/>
                <w:spacing w:val="-1"/>
                <w:sz w:val="24"/>
                <w:szCs w:val="24"/>
              </w:rPr>
              <w:t>主持人按下列程序进行开标：</w:t>
            </w:r>
          </w:p>
          <w:p>
            <w:pPr>
              <w:pStyle w:val="35"/>
              <w:spacing w:line="360" w:lineRule="auto"/>
              <w:ind w:left="103"/>
              <w:rPr>
                <w:rFonts w:ascii="Times New Roman"/>
                <w:spacing w:val="-1"/>
                <w:sz w:val="24"/>
                <w:szCs w:val="24"/>
              </w:rPr>
            </w:pPr>
            <w:r>
              <w:rPr>
                <w:rFonts w:hint="eastAsia" w:ascii="Times New Roman"/>
                <w:spacing w:val="-1"/>
                <w:sz w:val="24"/>
                <w:szCs w:val="24"/>
              </w:rPr>
              <w:t>（1）宣布开标纪律；</w:t>
            </w:r>
          </w:p>
          <w:p>
            <w:pPr>
              <w:pStyle w:val="35"/>
              <w:spacing w:line="360" w:lineRule="auto"/>
              <w:ind w:left="103"/>
              <w:rPr>
                <w:rFonts w:ascii="Times New Roman"/>
                <w:spacing w:val="-1"/>
                <w:sz w:val="24"/>
                <w:szCs w:val="24"/>
              </w:rPr>
            </w:pPr>
            <w:r>
              <w:rPr>
                <w:rFonts w:hint="eastAsia" w:ascii="Times New Roman"/>
                <w:spacing w:val="-1"/>
                <w:sz w:val="24"/>
                <w:szCs w:val="24"/>
              </w:rPr>
              <w:t>（2）宣布开标人、唱标人、记录人、验证人等有关人员姓名；</w:t>
            </w:r>
          </w:p>
          <w:p>
            <w:pPr>
              <w:pStyle w:val="35"/>
              <w:spacing w:line="360" w:lineRule="auto"/>
              <w:ind w:left="103"/>
              <w:rPr>
                <w:rFonts w:ascii="Times New Roman"/>
                <w:spacing w:val="-1"/>
                <w:sz w:val="24"/>
                <w:szCs w:val="24"/>
              </w:rPr>
            </w:pPr>
            <w:r>
              <w:rPr>
                <w:rFonts w:hint="eastAsia" w:ascii="Times New Roman"/>
                <w:spacing w:val="-1"/>
                <w:sz w:val="24"/>
                <w:szCs w:val="24"/>
              </w:rPr>
              <w:t>（3）公布在投标截止时间前递交投标文件的投标供应商名称；</w:t>
            </w:r>
          </w:p>
          <w:p>
            <w:pPr>
              <w:pStyle w:val="35"/>
              <w:spacing w:line="360" w:lineRule="auto"/>
              <w:ind w:left="103"/>
              <w:rPr>
                <w:rFonts w:ascii="Times New Roman"/>
                <w:b/>
                <w:bCs/>
                <w:spacing w:val="-1"/>
                <w:sz w:val="24"/>
                <w:szCs w:val="24"/>
              </w:rPr>
            </w:pPr>
            <w:r>
              <w:rPr>
                <w:rFonts w:hint="eastAsia" w:ascii="Times New Roman"/>
                <w:spacing w:val="-1"/>
                <w:sz w:val="24"/>
                <w:szCs w:val="24"/>
              </w:rPr>
              <w:t>（</w:t>
            </w:r>
            <w:r>
              <w:rPr>
                <w:rFonts w:hint="eastAsia" w:ascii="Times New Roman"/>
                <w:b/>
                <w:bCs/>
                <w:spacing w:val="-1"/>
                <w:sz w:val="24"/>
                <w:szCs w:val="24"/>
                <w:lang w:val="en-US"/>
              </w:rPr>
              <w:t>4</w:t>
            </w:r>
            <w:r>
              <w:rPr>
                <w:rFonts w:hint="eastAsia" w:ascii="Times New Roman"/>
                <w:b/>
                <w:bCs/>
                <w:spacing w:val="-1"/>
                <w:sz w:val="24"/>
                <w:szCs w:val="24"/>
              </w:rPr>
              <w:t>）核验参加开标会议的资格，投标供应商的法定代表人参加开标会议的,应出示法定代表人身份证明原件，委托代理人参加开标会议的，应出示授权委托书、被授权人身份证原件。以确认其身份合法有效。携带投标企业CA锁解密（</w:t>
            </w:r>
            <w:r>
              <w:rPr>
                <w:rFonts w:hint="eastAsia" w:ascii="Times New Roman"/>
                <w:b/>
                <w:bCs/>
                <w:spacing w:val="-1"/>
                <w:sz w:val="24"/>
                <w:szCs w:val="24"/>
                <w:lang w:val="en-US"/>
              </w:rPr>
              <w:t>选择不见面开标，远程投标的单位必须在开标时将文件解密</w:t>
            </w:r>
            <w:r>
              <w:rPr>
                <w:rFonts w:hint="eastAsia" w:ascii="Times New Roman"/>
                <w:b/>
                <w:bCs/>
                <w:spacing w:val="-1"/>
                <w:sz w:val="24"/>
                <w:szCs w:val="24"/>
              </w:rPr>
              <w:t>），按时提交投标文件备用U盘（选择远程投标、不见面开标的供应商无需现场提供，在开标后2小时内将投标文件电子档（</w:t>
            </w:r>
            <w:r>
              <w:rPr>
                <w:rFonts w:hint="eastAsia" w:ascii="Times New Roman"/>
                <w:b/>
                <w:bCs/>
                <w:spacing w:val="-1"/>
                <w:sz w:val="24"/>
                <w:szCs w:val="24"/>
                <w:lang w:val="en-US"/>
              </w:rPr>
              <w:t>必须与上传系统的文件保持一致</w:t>
            </w:r>
            <w:r>
              <w:rPr>
                <w:rFonts w:hint="eastAsia" w:ascii="Times New Roman"/>
                <w:b/>
                <w:bCs/>
                <w:spacing w:val="-1"/>
                <w:sz w:val="24"/>
                <w:szCs w:val="24"/>
              </w:rPr>
              <w:t>）发送至911090451@qq.com）；</w:t>
            </w:r>
          </w:p>
          <w:p>
            <w:pPr>
              <w:pStyle w:val="35"/>
              <w:spacing w:line="360" w:lineRule="auto"/>
              <w:ind w:left="103"/>
              <w:rPr>
                <w:rFonts w:ascii="Times New Roman"/>
                <w:spacing w:val="-1"/>
                <w:sz w:val="24"/>
                <w:szCs w:val="24"/>
              </w:rPr>
            </w:pPr>
            <w:r>
              <w:rPr>
                <w:rFonts w:hint="eastAsia" w:ascii="Times New Roman"/>
                <w:spacing w:val="-1"/>
                <w:sz w:val="24"/>
                <w:szCs w:val="24"/>
              </w:rPr>
              <w:t>（</w:t>
            </w:r>
            <w:r>
              <w:rPr>
                <w:rFonts w:hint="eastAsia" w:ascii="Times New Roman"/>
                <w:spacing w:val="-1"/>
                <w:sz w:val="24"/>
                <w:szCs w:val="24"/>
                <w:lang w:val="en-US"/>
              </w:rPr>
              <w:t>5</w:t>
            </w:r>
            <w:r>
              <w:rPr>
                <w:rFonts w:hint="eastAsia" w:ascii="Times New Roman"/>
                <w:spacing w:val="-1"/>
                <w:sz w:val="24"/>
                <w:szCs w:val="24"/>
              </w:rPr>
              <w:t>）重申拦标价；</w:t>
            </w:r>
          </w:p>
          <w:p>
            <w:pPr>
              <w:pStyle w:val="35"/>
              <w:spacing w:line="360" w:lineRule="auto"/>
              <w:ind w:left="103"/>
              <w:rPr>
                <w:rFonts w:ascii="Times New Roman"/>
                <w:spacing w:val="-1"/>
                <w:sz w:val="24"/>
                <w:szCs w:val="24"/>
              </w:rPr>
            </w:pPr>
            <w:r>
              <w:rPr>
                <w:rFonts w:hint="eastAsia" w:ascii="Times New Roman"/>
                <w:spacing w:val="-1"/>
                <w:sz w:val="24"/>
                <w:szCs w:val="24"/>
              </w:rPr>
              <w:t>（</w:t>
            </w:r>
            <w:r>
              <w:rPr>
                <w:rFonts w:hint="eastAsia" w:ascii="Times New Roman"/>
                <w:spacing w:val="-1"/>
                <w:sz w:val="24"/>
                <w:szCs w:val="24"/>
                <w:lang w:val="en-US"/>
              </w:rPr>
              <w:t>6</w:t>
            </w:r>
            <w:r>
              <w:rPr>
                <w:rFonts w:hint="eastAsia" w:ascii="Times New Roman"/>
                <w:spacing w:val="-1"/>
                <w:sz w:val="24"/>
                <w:szCs w:val="24"/>
              </w:rPr>
              <w:t>）投标供应商对电子投标文件解密，采购人对电子投标文件解密；公布投标供应商名称、投标报价、及其他内容，并记录在案；</w:t>
            </w:r>
          </w:p>
          <w:p>
            <w:pPr>
              <w:pStyle w:val="35"/>
              <w:spacing w:line="360" w:lineRule="auto"/>
              <w:ind w:left="103"/>
              <w:rPr>
                <w:rFonts w:ascii="Times New Roman"/>
                <w:spacing w:val="-1"/>
                <w:sz w:val="24"/>
                <w:szCs w:val="24"/>
              </w:rPr>
            </w:pPr>
            <w:r>
              <w:rPr>
                <w:rFonts w:hint="eastAsia" w:ascii="Times New Roman"/>
                <w:spacing w:val="-1"/>
                <w:sz w:val="24"/>
                <w:szCs w:val="24"/>
              </w:rPr>
              <w:t>（</w:t>
            </w:r>
            <w:r>
              <w:rPr>
                <w:rFonts w:hint="eastAsia" w:ascii="Times New Roman"/>
                <w:spacing w:val="-1"/>
                <w:sz w:val="24"/>
                <w:szCs w:val="24"/>
                <w:lang w:val="en-US"/>
              </w:rPr>
              <w:t>7</w:t>
            </w:r>
            <w:r>
              <w:rPr>
                <w:rFonts w:hint="eastAsia" w:ascii="Times New Roman"/>
                <w:spacing w:val="-1"/>
                <w:sz w:val="24"/>
                <w:szCs w:val="24"/>
              </w:rPr>
              <w:t>）投标供应商代表、采购人代表、验证人、记录人等有关人员在开标记录上签字确认；</w:t>
            </w:r>
          </w:p>
          <w:p>
            <w:pPr>
              <w:pStyle w:val="35"/>
              <w:spacing w:line="360" w:lineRule="auto"/>
              <w:ind w:left="103"/>
              <w:rPr>
                <w:kern w:val="2"/>
                <w:sz w:val="24"/>
                <w:szCs w:val="24"/>
              </w:rPr>
            </w:pPr>
            <w:r>
              <w:rPr>
                <w:rFonts w:hint="eastAsia" w:ascii="Times New Roman"/>
                <w:spacing w:val="-1"/>
                <w:sz w:val="24"/>
                <w:szCs w:val="24"/>
              </w:rPr>
              <w:t>（</w:t>
            </w:r>
            <w:r>
              <w:rPr>
                <w:rFonts w:hint="eastAsia" w:ascii="Times New Roman"/>
                <w:spacing w:val="-1"/>
                <w:sz w:val="24"/>
                <w:szCs w:val="24"/>
                <w:lang w:val="en-US"/>
              </w:rPr>
              <w:t>8</w:t>
            </w:r>
            <w:r>
              <w:rPr>
                <w:rFonts w:hint="eastAsia" w:ascii="Times New Roman"/>
                <w:spacing w:val="-1"/>
                <w:sz w:val="24"/>
                <w:szCs w:val="24"/>
              </w:rPr>
              <w:t>）开标结束。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jc w:val="center"/>
        </w:trPr>
        <w:tc>
          <w:tcPr>
            <w:tcW w:w="813" w:type="dxa"/>
          </w:tcPr>
          <w:p>
            <w:pPr>
              <w:pStyle w:val="35"/>
              <w:spacing w:before="4"/>
              <w:rPr>
                <w:rFonts w:ascii="黑体"/>
                <w:b/>
                <w:kern w:val="2"/>
                <w:sz w:val="24"/>
                <w:szCs w:val="24"/>
              </w:rPr>
            </w:pPr>
          </w:p>
          <w:p>
            <w:pPr>
              <w:pStyle w:val="35"/>
              <w:ind w:left="142" w:right="168"/>
              <w:jc w:val="center"/>
              <w:rPr>
                <w:rFonts w:ascii="Times New Roman"/>
                <w:kern w:val="2"/>
                <w:sz w:val="24"/>
                <w:szCs w:val="24"/>
              </w:rPr>
            </w:pPr>
            <w:r>
              <w:rPr>
                <w:rFonts w:ascii="Times New Roman"/>
                <w:kern w:val="2"/>
                <w:sz w:val="24"/>
                <w:szCs w:val="24"/>
              </w:rPr>
              <w:t>21</w:t>
            </w:r>
          </w:p>
        </w:tc>
        <w:tc>
          <w:tcPr>
            <w:tcW w:w="1787" w:type="dxa"/>
          </w:tcPr>
          <w:p>
            <w:pPr>
              <w:pStyle w:val="35"/>
              <w:ind w:left="241"/>
              <w:jc w:val="center"/>
              <w:rPr>
                <w:kern w:val="2"/>
                <w:sz w:val="24"/>
                <w:szCs w:val="24"/>
              </w:rPr>
            </w:pPr>
          </w:p>
          <w:p>
            <w:pPr>
              <w:pStyle w:val="35"/>
              <w:jc w:val="center"/>
              <w:rPr>
                <w:kern w:val="2"/>
                <w:sz w:val="24"/>
                <w:szCs w:val="24"/>
              </w:rPr>
            </w:pPr>
            <w:r>
              <w:rPr>
                <w:kern w:val="2"/>
                <w:sz w:val="24"/>
                <w:szCs w:val="24"/>
              </w:rPr>
              <w:t>评标委员会的组建</w:t>
            </w:r>
          </w:p>
        </w:tc>
        <w:tc>
          <w:tcPr>
            <w:tcW w:w="6884" w:type="dxa"/>
          </w:tcPr>
          <w:p>
            <w:pPr>
              <w:pStyle w:val="35"/>
              <w:spacing w:line="360" w:lineRule="auto"/>
              <w:ind w:left="101"/>
              <w:rPr>
                <w:kern w:val="2"/>
                <w:sz w:val="24"/>
                <w:szCs w:val="24"/>
              </w:rPr>
            </w:pPr>
            <w:r>
              <w:rPr>
                <w:kern w:val="2"/>
                <w:sz w:val="24"/>
                <w:szCs w:val="24"/>
              </w:rPr>
              <w:t>评标委员会构成：</w:t>
            </w:r>
            <w:r>
              <w:rPr>
                <w:rFonts w:hint="eastAsia"/>
                <w:kern w:val="2"/>
                <w:sz w:val="24"/>
                <w:szCs w:val="24"/>
                <w:lang w:val="en-US"/>
              </w:rPr>
              <w:t>5</w:t>
            </w:r>
            <w:r>
              <w:rPr>
                <w:kern w:val="2"/>
                <w:sz w:val="24"/>
                <w:szCs w:val="24"/>
              </w:rPr>
              <w:t>人，由</w:t>
            </w:r>
            <w:r>
              <w:rPr>
                <w:rFonts w:hint="eastAsia"/>
                <w:kern w:val="2"/>
                <w:sz w:val="24"/>
                <w:szCs w:val="24"/>
              </w:rPr>
              <w:t>采购人</w:t>
            </w:r>
            <w:r>
              <w:rPr>
                <w:kern w:val="2"/>
                <w:sz w:val="24"/>
                <w:szCs w:val="24"/>
              </w:rPr>
              <w:t>和评标专家组成。</w:t>
            </w:r>
          </w:p>
          <w:p>
            <w:pPr>
              <w:pStyle w:val="35"/>
              <w:spacing w:line="360" w:lineRule="auto"/>
              <w:ind w:left="101"/>
              <w:rPr>
                <w:kern w:val="2"/>
                <w:sz w:val="24"/>
                <w:szCs w:val="24"/>
              </w:rPr>
            </w:pPr>
            <w:r>
              <w:rPr>
                <w:kern w:val="2"/>
                <w:sz w:val="24"/>
                <w:szCs w:val="24"/>
              </w:rPr>
              <w:t>评标专家确定方式：随机抽取。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13" w:type="dxa"/>
          </w:tcPr>
          <w:p>
            <w:pPr>
              <w:pStyle w:val="35"/>
              <w:spacing w:before="11"/>
              <w:ind w:left="142" w:right="168"/>
              <w:jc w:val="center"/>
              <w:rPr>
                <w:rFonts w:ascii="Times New Roman"/>
                <w:kern w:val="2"/>
                <w:sz w:val="24"/>
                <w:szCs w:val="24"/>
              </w:rPr>
            </w:pPr>
            <w:r>
              <w:rPr>
                <w:rFonts w:ascii="Times New Roman"/>
                <w:kern w:val="2"/>
                <w:sz w:val="24"/>
                <w:szCs w:val="24"/>
              </w:rPr>
              <w:t>22</w:t>
            </w:r>
          </w:p>
        </w:tc>
        <w:tc>
          <w:tcPr>
            <w:tcW w:w="1787" w:type="dxa"/>
          </w:tcPr>
          <w:p>
            <w:pPr>
              <w:pStyle w:val="35"/>
              <w:spacing w:before="14"/>
              <w:jc w:val="center"/>
              <w:rPr>
                <w:kern w:val="2"/>
                <w:sz w:val="24"/>
                <w:szCs w:val="24"/>
              </w:rPr>
            </w:pPr>
            <w:r>
              <w:rPr>
                <w:kern w:val="2"/>
                <w:sz w:val="24"/>
                <w:szCs w:val="24"/>
              </w:rPr>
              <w:t>评标方法</w:t>
            </w:r>
          </w:p>
        </w:tc>
        <w:tc>
          <w:tcPr>
            <w:tcW w:w="6884" w:type="dxa"/>
          </w:tcPr>
          <w:p>
            <w:pPr>
              <w:pStyle w:val="35"/>
              <w:spacing w:line="360" w:lineRule="auto"/>
              <w:ind w:left="101"/>
              <w:rPr>
                <w:kern w:val="2"/>
                <w:sz w:val="24"/>
                <w:szCs w:val="24"/>
              </w:rPr>
            </w:pPr>
            <w:r>
              <w:rPr>
                <w:kern w:val="2"/>
                <w:sz w:val="24"/>
                <w:szCs w:val="24"/>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13" w:type="dxa"/>
          </w:tcPr>
          <w:p>
            <w:pPr>
              <w:pStyle w:val="35"/>
              <w:spacing w:before="4"/>
              <w:rPr>
                <w:rFonts w:ascii="黑体"/>
                <w:b/>
                <w:kern w:val="2"/>
                <w:sz w:val="24"/>
                <w:szCs w:val="24"/>
              </w:rPr>
            </w:pPr>
          </w:p>
          <w:p>
            <w:pPr>
              <w:pStyle w:val="35"/>
              <w:ind w:left="172" w:right="168"/>
              <w:jc w:val="center"/>
              <w:rPr>
                <w:rFonts w:ascii="Times New Roman"/>
                <w:kern w:val="2"/>
                <w:sz w:val="24"/>
                <w:szCs w:val="24"/>
              </w:rPr>
            </w:pPr>
            <w:r>
              <w:rPr>
                <w:rFonts w:ascii="Times New Roman"/>
                <w:kern w:val="2"/>
                <w:sz w:val="24"/>
                <w:szCs w:val="24"/>
              </w:rPr>
              <w:t>23</w:t>
            </w:r>
          </w:p>
        </w:tc>
        <w:tc>
          <w:tcPr>
            <w:tcW w:w="1787" w:type="dxa"/>
          </w:tcPr>
          <w:p>
            <w:pPr>
              <w:pStyle w:val="35"/>
              <w:spacing w:before="150"/>
              <w:jc w:val="center"/>
              <w:rPr>
                <w:kern w:val="2"/>
                <w:sz w:val="24"/>
                <w:szCs w:val="24"/>
              </w:rPr>
            </w:pPr>
            <w:r>
              <w:rPr>
                <w:kern w:val="2"/>
                <w:sz w:val="24"/>
                <w:szCs w:val="24"/>
              </w:rPr>
              <w:t>中标供应商条件</w:t>
            </w:r>
          </w:p>
        </w:tc>
        <w:tc>
          <w:tcPr>
            <w:tcW w:w="6884" w:type="dxa"/>
          </w:tcPr>
          <w:p>
            <w:pPr>
              <w:pStyle w:val="35"/>
              <w:spacing w:line="360" w:lineRule="auto"/>
              <w:rPr>
                <w:kern w:val="2"/>
                <w:sz w:val="24"/>
                <w:szCs w:val="24"/>
              </w:rPr>
            </w:pPr>
            <w:r>
              <w:rPr>
                <w:rFonts w:hint="eastAsia"/>
                <w:kern w:val="2"/>
                <w:sz w:val="24"/>
                <w:szCs w:val="24"/>
              </w:rPr>
              <w:t>采购人</w:t>
            </w:r>
            <w:r>
              <w:rPr>
                <w:kern w:val="2"/>
                <w:sz w:val="24"/>
                <w:szCs w:val="24"/>
              </w:rPr>
              <w:t>将确定实质上响应招标文件要求，</w:t>
            </w:r>
            <w:r>
              <w:rPr>
                <w:rFonts w:hint="eastAsia"/>
                <w:kern w:val="2"/>
                <w:sz w:val="24"/>
                <w:szCs w:val="24"/>
              </w:rPr>
              <w:t>综合得分排序第一，</w:t>
            </w:r>
            <w:r>
              <w:rPr>
                <w:kern w:val="2"/>
                <w:sz w:val="24"/>
                <w:szCs w:val="24"/>
              </w:rPr>
              <w:t>并有履行合同能力的中标候选人为中标供应商。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13" w:type="dxa"/>
            <w:vAlign w:val="center"/>
          </w:tcPr>
          <w:p>
            <w:pPr>
              <w:pStyle w:val="35"/>
              <w:spacing w:before="1"/>
              <w:ind w:right="167"/>
              <w:jc w:val="center"/>
              <w:rPr>
                <w:rFonts w:ascii="Times New Roman"/>
                <w:kern w:val="2"/>
                <w:sz w:val="24"/>
                <w:szCs w:val="24"/>
              </w:rPr>
            </w:pPr>
            <w:r>
              <w:rPr>
                <w:rFonts w:hint="eastAsia" w:ascii="Times New Roman"/>
                <w:kern w:val="2"/>
                <w:sz w:val="24"/>
                <w:szCs w:val="24"/>
                <w:lang w:val="en-US"/>
              </w:rPr>
              <w:t xml:space="preserve"> </w:t>
            </w:r>
            <w:r>
              <w:rPr>
                <w:rFonts w:ascii="Times New Roman"/>
                <w:kern w:val="2"/>
                <w:sz w:val="24"/>
                <w:szCs w:val="24"/>
              </w:rPr>
              <w:t>24</w:t>
            </w:r>
          </w:p>
        </w:tc>
        <w:tc>
          <w:tcPr>
            <w:tcW w:w="1787" w:type="dxa"/>
            <w:vAlign w:val="center"/>
          </w:tcPr>
          <w:p>
            <w:pPr>
              <w:pStyle w:val="35"/>
              <w:jc w:val="center"/>
              <w:rPr>
                <w:kern w:val="2"/>
                <w:sz w:val="24"/>
                <w:szCs w:val="24"/>
              </w:rPr>
            </w:pPr>
            <w:r>
              <w:rPr>
                <w:kern w:val="2"/>
                <w:sz w:val="24"/>
                <w:szCs w:val="24"/>
              </w:rPr>
              <w:t>补充内容</w:t>
            </w:r>
          </w:p>
        </w:tc>
        <w:tc>
          <w:tcPr>
            <w:tcW w:w="6884" w:type="dxa"/>
          </w:tcPr>
          <w:p>
            <w:pPr>
              <w:pStyle w:val="35"/>
              <w:spacing w:line="360" w:lineRule="auto"/>
              <w:rPr>
                <w:kern w:val="2"/>
                <w:sz w:val="24"/>
                <w:szCs w:val="24"/>
              </w:rPr>
            </w:pPr>
            <w:r>
              <w:rPr>
                <w:b/>
                <w:bCs/>
                <w:kern w:val="2"/>
                <w:sz w:val="24"/>
                <w:szCs w:val="24"/>
              </w:rPr>
              <w:t>当投标供应商须知前附表与投标供应商须知正文内容不一致时，以投标供应商须知前附表为准</w:t>
            </w:r>
            <w:r>
              <w:rPr>
                <w:rFonts w:hint="eastAsia"/>
                <w:b/>
                <w:bCs/>
                <w:kern w:val="2"/>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13" w:type="dxa"/>
          </w:tcPr>
          <w:p>
            <w:pPr>
              <w:pStyle w:val="35"/>
              <w:spacing w:before="176"/>
              <w:ind w:left="172" w:right="168"/>
              <w:jc w:val="center"/>
              <w:rPr>
                <w:rFonts w:ascii="Times New Roman"/>
                <w:kern w:val="2"/>
                <w:sz w:val="24"/>
                <w:szCs w:val="24"/>
              </w:rPr>
            </w:pPr>
            <w:r>
              <w:rPr>
                <w:rFonts w:ascii="Times New Roman"/>
                <w:kern w:val="2"/>
                <w:sz w:val="24"/>
                <w:szCs w:val="24"/>
              </w:rPr>
              <w:t>2</w:t>
            </w:r>
            <w:r>
              <w:rPr>
                <w:rFonts w:hint="eastAsia" w:ascii="Times New Roman"/>
                <w:kern w:val="2"/>
                <w:sz w:val="24"/>
                <w:szCs w:val="24"/>
                <w:lang w:val="en-US"/>
              </w:rPr>
              <w:t>5</w:t>
            </w:r>
          </w:p>
        </w:tc>
        <w:tc>
          <w:tcPr>
            <w:tcW w:w="1787" w:type="dxa"/>
          </w:tcPr>
          <w:p>
            <w:pPr>
              <w:pStyle w:val="35"/>
              <w:spacing w:before="163"/>
              <w:ind w:firstLine="480" w:firstLineChars="200"/>
              <w:rPr>
                <w:kern w:val="2"/>
                <w:sz w:val="24"/>
                <w:szCs w:val="24"/>
                <w:lang w:val="en-US"/>
              </w:rPr>
            </w:pPr>
            <w:r>
              <w:rPr>
                <w:kern w:val="2"/>
                <w:sz w:val="24"/>
                <w:szCs w:val="24"/>
              </w:rPr>
              <w:t>其他</w:t>
            </w:r>
            <w:r>
              <w:rPr>
                <w:rFonts w:hint="eastAsia"/>
                <w:kern w:val="2"/>
                <w:sz w:val="24"/>
                <w:szCs w:val="24"/>
                <w:lang w:val="en-US"/>
              </w:rPr>
              <w:t>要求</w:t>
            </w:r>
          </w:p>
        </w:tc>
        <w:tc>
          <w:tcPr>
            <w:tcW w:w="6884" w:type="dxa"/>
          </w:tcPr>
          <w:p>
            <w:pPr>
              <w:pStyle w:val="35"/>
              <w:spacing w:before="98" w:line="360" w:lineRule="auto"/>
              <w:jc w:val="both"/>
              <w:rPr>
                <w:rFonts w:ascii="Times New Roman"/>
                <w:b/>
                <w:bCs/>
                <w:spacing w:val="-1"/>
                <w:kern w:val="2"/>
                <w:sz w:val="24"/>
                <w:szCs w:val="24"/>
                <w:lang w:val="en-US"/>
              </w:rPr>
            </w:pPr>
            <w:r>
              <w:rPr>
                <w:rFonts w:hint="eastAsia" w:ascii="Times New Roman"/>
                <w:b/>
                <w:bCs/>
                <w:spacing w:val="-1"/>
                <w:kern w:val="2"/>
                <w:sz w:val="24"/>
                <w:szCs w:val="24"/>
                <w:lang w:val="en-US"/>
              </w:rPr>
              <w:t>1、投标供应商的投标报价应包含：货物采购、运输、安装、验收、税金及其他一切相关的所有费用，采购人将不再支付其他任何费用。</w:t>
            </w:r>
          </w:p>
          <w:p>
            <w:pPr>
              <w:pStyle w:val="35"/>
              <w:spacing w:before="98" w:line="360" w:lineRule="auto"/>
              <w:jc w:val="both"/>
              <w:rPr>
                <w:rFonts w:ascii="Times New Roman"/>
                <w:b/>
                <w:bCs/>
                <w:spacing w:val="-1"/>
                <w:kern w:val="2"/>
                <w:sz w:val="24"/>
                <w:szCs w:val="24"/>
                <w:lang w:val="en-US"/>
              </w:rPr>
            </w:pPr>
            <w:r>
              <w:rPr>
                <w:rFonts w:hint="eastAsia" w:ascii="Times New Roman"/>
                <w:b/>
                <w:bCs/>
                <w:spacing w:val="-1"/>
                <w:kern w:val="2"/>
                <w:sz w:val="24"/>
                <w:szCs w:val="24"/>
                <w:lang w:val="en-US"/>
              </w:rPr>
              <w:t>2、不论投标供应商是否中标，不得有串通投标、以他人名义投标、出让或者出租资格和资质证书供他人投标的行为；投标供应商对投标文件内容的合法性、真实性、完整性负有无条件证明的义务。不得有提供虚假的许可证件、财务状况、人员简历、劳动关系证明、保险、信用状况、获奖项目、公司地点等一切证明材料骗取中标的行为。</w:t>
            </w:r>
          </w:p>
          <w:p>
            <w:pPr>
              <w:pStyle w:val="35"/>
              <w:spacing w:before="98" w:line="360" w:lineRule="auto"/>
              <w:jc w:val="both"/>
              <w:rPr>
                <w:rFonts w:ascii="Times New Roman"/>
                <w:b/>
                <w:bCs/>
                <w:spacing w:val="-1"/>
                <w:kern w:val="2"/>
                <w:sz w:val="24"/>
                <w:szCs w:val="24"/>
                <w:lang w:val="en-US"/>
              </w:rPr>
            </w:pPr>
            <w:r>
              <w:rPr>
                <w:rFonts w:hint="eastAsia" w:ascii="Times New Roman"/>
                <w:b/>
                <w:bCs/>
                <w:spacing w:val="-1"/>
                <w:kern w:val="2"/>
                <w:sz w:val="24"/>
                <w:szCs w:val="24"/>
                <w:lang w:val="en-US"/>
              </w:rPr>
              <w:t>3、中标供应商按规定向贵州国询建设投资咨询有限公司缴纳成交服务费；服务费以成交金额为基数，按照黔价房〔2011〕69号文的收费标准计取。</w:t>
            </w:r>
          </w:p>
        </w:tc>
      </w:tr>
    </w:tbl>
    <w:p>
      <w:pPr>
        <w:pStyle w:val="4"/>
        <w:ind w:left="0"/>
        <w:jc w:val="center"/>
        <w:rPr>
          <w:b/>
          <w:bCs/>
        </w:rPr>
      </w:pPr>
      <w:bookmarkStart w:id="49" w:name="第三章投标供应商须知"/>
      <w:bookmarkEnd w:id="49"/>
    </w:p>
    <w:p>
      <w:pPr>
        <w:rPr>
          <w:b/>
          <w:bCs/>
        </w:rPr>
      </w:pPr>
      <w:bookmarkStart w:id="50" w:name="_Toc66"/>
      <w:r>
        <w:rPr>
          <w:b/>
          <w:bCs/>
        </w:rPr>
        <w:br w:type="page"/>
      </w:r>
    </w:p>
    <w:p>
      <w:pPr>
        <w:pStyle w:val="4"/>
        <w:ind w:left="0"/>
        <w:jc w:val="center"/>
        <w:rPr>
          <w:b/>
          <w:bCs/>
        </w:rPr>
      </w:pPr>
      <w:r>
        <w:rPr>
          <w:b/>
          <w:bCs/>
        </w:rPr>
        <w:t>第三章</w:t>
      </w:r>
      <w:r>
        <w:rPr>
          <w:rFonts w:hint="eastAsia"/>
          <w:b/>
          <w:bCs/>
          <w:lang w:val="en-US"/>
        </w:rPr>
        <w:t xml:space="preserve">  </w:t>
      </w:r>
      <w:r>
        <w:rPr>
          <w:b/>
          <w:bCs/>
        </w:rPr>
        <w:t>投标供应商须知</w:t>
      </w:r>
      <w:bookmarkEnd w:id="50"/>
    </w:p>
    <w:p>
      <w:pPr>
        <w:pStyle w:val="10"/>
        <w:tabs>
          <w:tab w:val="left" w:pos="844"/>
        </w:tabs>
        <w:spacing w:before="271"/>
        <w:ind w:right="358"/>
        <w:jc w:val="center"/>
        <w:rPr>
          <w:rFonts w:asciiTheme="minorEastAsia" w:hAnsiTheme="minorEastAsia" w:eastAsiaTheme="minorEastAsia" w:cstheme="minorEastAsia"/>
          <w:sz w:val="24"/>
          <w:szCs w:val="24"/>
        </w:rPr>
      </w:pPr>
      <w:bookmarkStart w:id="51" w:name="一.总则"/>
      <w:bookmarkEnd w:id="51"/>
      <w:r>
        <w:rPr>
          <w:rFonts w:hint="eastAsia" w:asciiTheme="minorEastAsia" w:hAnsiTheme="minorEastAsia" w:eastAsiaTheme="minorEastAsia" w:cstheme="minorEastAsia"/>
          <w:sz w:val="24"/>
          <w:szCs w:val="24"/>
        </w:rPr>
        <w:t>一.总</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则</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1.资金来源</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1.1</w:t>
      </w:r>
      <w:r>
        <w:rPr>
          <w:rFonts w:hint="eastAsia" w:asciiTheme="minorEastAsia" w:hAnsiTheme="minorEastAsia" w:eastAsiaTheme="minorEastAsia" w:cstheme="minorEastAsia"/>
          <w:sz w:val="24"/>
          <w:szCs w:val="24"/>
        </w:rPr>
        <w:t>本次招标采购所需资金为财政资金，资金已落实位。</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2.合格的投标供应商</w:t>
      </w:r>
    </w:p>
    <w:p>
      <w:pPr>
        <w:autoSpaceDE/>
        <w:autoSpaceDN/>
        <w:spacing w:line="360" w:lineRule="auto"/>
        <w:ind w:left="220" w:leftChars="100" w:right="629" w:rightChars="286"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w:t>
      </w:r>
      <w:r>
        <w:rPr>
          <w:rFonts w:hint="eastAsia" w:asciiTheme="minorEastAsia" w:hAnsiTheme="minorEastAsia" w:eastAsiaTheme="minorEastAsia" w:cstheme="minorEastAsia"/>
          <w:sz w:val="24"/>
          <w:szCs w:val="24"/>
        </w:rPr>
        <w:t>1.满足《中华人民共和国政府采购法》第二十二条规定；（1）具有独立承担民事责任的能力：提供法人或其他组织的营业执照等证明文件，或自然人身份证明；在中国境内依法注册并具有有效独立法人资格；（2）具有良好的商业信誉和健全的财务会计制度：具体要求：</w:t>
      </w:r>
      <w:r>
        <w:rPr>
          <w:rFonts w:hint="eastAsia" w:asciiTheme="minorEastAsia" w:hAnsiTheme="minorEastAsia" w:eastAsiaTheme="minorEastAsia" w:cstheme="minorEastAsia"/>
          <w:sz w:val="24"/>
          <w:szCs w:val="24"/>
          <w:lang w:val="en-US"/>
        </w:rPr>
        <w:t>提供2020年或2021年财务审计报告</w:t>
      </w:r>
      <w:r>
        <w:rPr>
          <w:rFonts w:hint="eastAsia"/>
          <w:sz w:val="24"/>
          <w:szCs w:val="24"/>
        </w:rPr>
        <w:t>（含财务报表）</w:t>
      </w:r>
      <w:r>
        <w:rPr>
          <w:rFonts w:hint="eastAsia" w:asciiTheme="minorEastAsia" w:hAnsiTheme="minorEastAsia" w:eastAsiaTheme="minorEastAsia" w:cstheme="minorEastAsia"/>
          <w:sz w:val="24"/>
          <w:szCs w:val="24"/>
          <w:lang w:val="en-US"/>
        </w:rPr>
        <w:t>或自行承诺；</w:t>
      </w:r>
      <w:r>
        <w:rPr>
          <w:rFonts w:hint="eastAsia"/>
          <w:sz w:val="24"/>
          <w:szCs w:val="24"/>
        </w:rPr>
        <w:t>（</w:t>
      </w:r>
      <w:r>
        <w:rPr>
          <w:rFonts w:hint="eastAsia"/>
          <w:sz w:val="24"/>
          <w:szCs w:val="24"/>
          <w:lang w:val="en-US"/>
        </w:rPr>
        <w:t>3</w:t>
      </w:r>
      <w:r>
        <w:rPr>
          <w:rFonts w:hint="eastAsia"/>
          <w:sz w:val="24"/>
          <w:szCs w:val="24"/>
        </w:rPr>
        <w:t>）具有履行合同所必须的设备和专业技术能力：提供相关证明材料或自行承</w:t>
      </w:r>
      <w:r>
        <w:rPr>
          <w:rFonts w:hint="eastAsia"/>
          <w:sz w:val="24"/>
          <w:szCs w:val="24"/>
          <w:lang w:val="en-US"/>
        </w:rPr>
        <w:t>诺</w:t>
      </w:r>
      <w:r>
        <w:rPr>
          <w:rFonts w:hint="eastAsia"/>
          <w:sz w:val="24"/>
          <w:szCs w:val="24"/>
        </w:rPr>
        <w:t>；（</w:t>
      </w:r>
      <w:r>
        <w:rPr>
          <w:rFonts w:hint="eastAsia"/>
          <w:sz w:val="24"/>
          <w:szCs w:val="24"/>
          <w:lang w:val="en-US"/>
        </w:rPr>
        <w:t>4</w:t>
      </w:r>
      <w:r>
        <w:rPr>
          <w:rFonts w:hint="eastAsia"/>
          <w:sz w:val="24"/>
          <w:szCs w:val="24"/>
        </w:rPr>
        <w:t>）具有依法缴纳税收和社会保障资金的良好记录：具体要求：近3个月的缴纳税收和社会保障资金的相关材料或自行承</w:t>
      </w:r>
      <w:r>
        <w:rPr>
          <w:rFonts w:hint="eastAsia"/>
          <w:sz w:val="24"/>
          <w:szCs w:val="24"/>
          <w:lang w:val="en-US"/>
        </w:rPr>
        <w:t>诺</w:t>
      </w:r>
      <w:r>
        <w:rPr>
          <w:rFonts w:hint="eastAsia"/>
          <w:sz w:val="24"/>
          <w:szCs w:val="24"/>
        </w:rPr>
        <w:t>；（</w:t>
      </w:r>
      <w:r>
        <w:rPr>
          <w:rFonts w:hint="eastAsia"/>
          <w:sz w:val="24"/>
          <w:szCs w:val="24"/>
          <w:lang w:val="en-US"/>
        </w:rPr>
        <w:t>5</w:t>
      </w:r>
      <w:r>
        <w:rPr>
          <w:rFonts w:hint="eastAsia"/>
          <w:sz w:val="24"/>
          <w:szCs w:val="24"/>
        </w:rPr>
        <w:t>）参加本次采购活动前三年内，在经营活动中没有违法违规记录：提供参加采购活动前3年内在经营活动中没有重大违法记录的书面声明（格式自拟）；（</w:t>
      </w:r>
      <w:r>
        <w:rPr>
          <w:rFonts w:hint="eastAsia"/>
          <w:sz w:val="24"/>
          <w:szCs w:val="24"/>
          <w:lang w:val="en-US"/>
        </w:rPr>
        <w:t>6</w:t>
      </w:r>
      <w:r>
        <w:rPr>
          <w:rFonts w:hint="eastAsia"/>
          <w:sz w:val="24"/>
          <w:szCs w:val="24"/>
        </w:rPr>
        <w:t>）法律、行政法规规定的其他条件：提供“信用中国”网站和中国政府采购网未被列入失信被执行人、重大税收违法案件当事人名单、政府采购严重违法失信行为记录名单的网页截图</w:t>
      </w:r>
      <w:r>
        <w:rPr>
          <w:rFonts w:hint="eastAsia"/>
          <w:sz w:val="24"/>
          <w:szCs w:val="24"/>
          <w:lang w:val="en-US"/>
        </w:rPr>
        <w:t>。</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color w:val="333333"/>
          <w:sz w:val="24"/>
          <w:szCs w:val="24"/>
          <w:shd w:val="clear" w:color="auto" w:fill="FFFFFF"/>
        </w:rPr>
      </w:pPr>
      <w:r>
        <w:rPr>
          <w:rFonts w:hint="eastAsia" w:asciiTheme="minorEastAsia" w:hAnsiTheme="minorEastAsia" w:eastAsiaTheme="minorEastAsia" w:cstheme="minorEastAsia"/>
          <w:sz w:val="24"/>
          <w:szCs w:val="24"/>
          <w:lang w:val="en-US"/>
        </w:rPr>
        <w:t>2.2</w:t>
      </w:r>
      <w:r>
        <w:rPr>
          <w:rFonts w:hint="eastAsia" w:asciiTheme="minorEastAsia" w:hAnsiTheme="minorEastAsia" w:eastAsiaTheme="minorEastAsia" w:cstheme="minorEastAsia"/>
          <w:sz w:val="24"/>
          <w:szCs w:val="24"/>
        </w:rPr>
        <w:t>本项目的特定资格要求：</w:t>
      </w:r>
      <w:r>
        <w:rPr>
          <w:rFonts w:hint="eastAsia" w:asciiTheme="minorEastAsia" w:hAnsiTheme="minorEastAsia" w:eastAsiaTheme="minorEastAsia" w:cstheme="minorEastAsia"/>
          <w:sz w:val="24"/>
          <w:szCs w:val="24"/>
          <w:lang w:val="en-US"/>
        </w:rPr>
        <w:t>无</w:t>
      </w:r>
      <w:r>
        <w:rPr>
          <w:rFonts w:hint="eastAsia" w:asciiTheme="minorEastAsia" w:hAnsiTheme="minorEastAsia" w:eastAsiaTheme="minorEastAsia" w:cstheme="minorEastAsia"/>
          <w:color w:val="333333"/>
          <w:sz w:val="24"/>
          <w:szCs w:val="24"/>
          <w:shd w:val="clear" w:color="auto" w:fill="FFFFFF"/>
        </w:rPr>
        <w:t>。</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3.</w:t>
      </w:r>
      <w:r>
        <w:rPr>
          <w:rFonts w:hint="eastAsia" w:asciiTheme="minorEastAsia" w:hAnsiTheme="minorEastAsia" w:eastAsiaTheme="minorEastAsia" w:cstheme="minorEastAsia"/>
          <w:sz w:val="24"/>
          <w:szCs w:val="24"/>
        </w:rPr>
        <w:t>投标文件内容的真实性投标供应商应保证其投标文件中所提供的所有有关投标的资料、信息是真实的、并且来源于合法的渠道。因投标文件中所提供的有关投标的资料、信息不真实、所提供资质文件未在有效期或者其来源不合法而导致的所有法律责任，由投标供应商自负。</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4.</w:t>
      </w:r>
      <w:r>
        <w:rPr>
          <w:rFonts w:hint="eastAsia" w:asciiTheme="minorEastAsia" w:hAnsiTheme="minorEastAsia" w:eastAsiaTheme="minorEastAsia" w:cstheme="minorEastAsia"/>
          <w:sz w:val="24"/>
          <w:szCs w:val="24"/>
        </w:rPr>
        <w:t>投标费用和招标文件的解释权</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4.1</w:t>
      </w:r>
      <w:r>
        <w:rPr>
          <w:rFonts w:hint="eastAsia" w:asciiTheme="minorEastAsia" w:hAnsiTheme="minorEastAsia" w:eastAsiaTheme="minorEastAsia" w:cstheme="minorEastAsia"/>
          <w:sz w:val="24"/>
          <w:szCs w:val="24"/>
        </w:rPr>
        <w:t>投标供应商应承担所有与准备和参加投标有关的费用。不论投标的结果如何，采购人无义务和责任承担这些费用。</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4.2</w:t>
      </w:r>
      <w:r>
        <w:rPr>
          <w:rFonts w:hint="eastAsia" w:asciiTheme="minorEastAsia" w:hAnsiTheme="minorEastAsia" w:eastAsiaTheme="minorEastAsia" w:cstheme="minorEastAsia"/>
          <w:sz w:val="24"/>
          <w:szCs w:val="24"/>
        </w:rPr>
        <w:t>本招标文件的解释权归采购人。</w:t>
      </w:r>
    </w:p>
    <w:p>
      <w:pPr>
        <w:pStyle w:val="34"/>
        <w:tabs>
          <w:tab w:val="left" w:pos="677"/>
        </w:tabs>
        <w:spacing w:before="96" w:line="360" w:lineRule="auto"/>
        <w:ind w:right="618" w:firstLine="480" w:firstLineChars="20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二、招标文件</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5.</w:t>
      </w:r>
      <w:r>
        <w:rPr>
          <w:rFonts w:hint="eastAsia" w:asciiTheme="minorEastAsia" w:hAnsiTheme="minorEastAsia" w:eastAsiaTheme="minorEastAsia" w:cstheme="minorEastAsia"/>
          <w:sz w:val="24"/>
          <w:szCs w:val="24"/>
        </w:rPr>
        <w:t>招标文件构成</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5.1</w:t>
      </w:r>
      <w:r>
        <w:rPr>
          <w:rFonts w:hint="eastAsia" w:asciiTheme="minorEastAsia" w:hAnsiTheme="minorEastAsia" w:eastAsiaTheme="minorEastAsia" w:cstheme="minorEastAsia"/>
          <w:sz w:val="24"/>
          <w:szCs w:val="24"/>
        </w:rPr>
        <w:t>要求提供的（货物或服务），招标程序和合同条件在招标文件中均有说明。招标文件共七章，其内容如下：</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bookmarkStart w:id="52" w:name="_Toc20537"/>
      <w:bookmarkStart w:id="53" w:name="_Toc13562"/>
      <w:bookmarkStart w:id="54" w:name="_Toc22345"/>
      <w:bookmarkStart w:id="55" w:name="_Toc22103"/>
      <w:bookmarkStart w:id="56" w:name="_Toc16619"/>
      <w:r>
        <w:rPr>
          <w:rFonts w:hint="eastAsia" w:asciiTheme="minorEastAsia" w:hAnsiTheme="minorEastAsia" w:eastAsiaTheme="minorEastAsia" w:cstheme="minorEastAsia"/>
          <w:sz w:val="24"/>
          <w:szCs w:val="24"/>
        </w:rPr>
        <w:t>第一章招标公告</w:t>
      </w:r>
      <w:bookmarkEnd w:id="52"/>
      <w:bookmarkEnd w:id="53"/>
      <w:bookmarkEnd w:id="54"/>
      <w:bookmarkEnd w:id="55"/>
      <w:bookmarkEnd w:id="56"/>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bookmarkStart w:id="57" w:name="_Toc20540"/>
      <w:bookmarkStart w:id="58" w:name="_Toc21837"/>
      <w:bookmarkStart w:id="59" w:name="_Toc4694"/>
      <w:bookmarkStart w:id="60" w:name="_Toc1525"/>
      <w:bookmarkStart w:id="61" w:name="_Toc5565"/>
      <w:r>
        <w:rPr>
          <w:rFonts w:hint="eastAsia" w:asciiTheme="minorEastAsia" w:hAnsiTheme="minorEastAsia" w:eastAsiaTheme="minorEastAsia" w:cstheme="minorEastAsia"/>
          <w:sz w:val="24"/>
          <w:szCs w:val="24"/>
        </w:rPr>
        <w:t>第二章投标供应商须知前附表</w:t>
      </w:r>
      <w:bookmarkEnd w:id="57"/>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bookmarkStart w:id="62" w:name="_Toc32276"/>
      <w:r>
        <w:rPr>
          <w:rFonts w:hint="eastAsia" w:asciiTheme="minorEastAsia" w:hAnsiTheme="minorEastAsia" w:eastAsiaTheme="minorEastAsia" w:cstheme="minorEastAsia"/>
          <w:sz w:val="24"/>
          <w:szCs w:val="24"/>
        </w:rPr>
        <w:t>第三章投标供应商须知</w:t>
      </w:r>
      <w:bookmarkEnd w:id="58"/>
      <w:bookmarkEnd w:id="59"/>
      <w:bookmarkEnd w:id="60"/>
      <w:bookmarkEnd w:id="61"/>
      <w:bookmarkEnd w:id="62"/>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bookmarkStart w:id="63" w:name="_Toc22841"/>
      <w:bookmarkStart w:id="64" w:name="_Toc24791"/>
      <w:bookmarkStart w:id="65" w:name="_Toc27369"/>
      <w:bookmarkStart w:id="66" w:name="_Toc9624"/>
      <w:bookmarkStart w:id="67" w:name="_Toc30375"/>
      <w:r>
        <w:rPr>
          <w:rFonts w:hint="eastAsia" w:asciiTheme="minorEastAsia" w:hAnsiTheme="minorEastAsia" w:eastAsiaTheme="minorEastAsia" w:cstheme="minorEastAsia"/>
          <w:sz w:val="24"/>
          <w:szCs w:val="24"/>
        </w:rPr>
        <w:t>第四章合同主要条款</w:t>
      </w:r>
      <w:bookmarkEnd w:id="63"/>
      <w:bookmarkEnd w:id="64"/>
      <w:bookmarkEnd w:id="65"/>
      <w:bookmarkEnd w:id="66"/>
      <w:bookmarkEnd w:id="67"/>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bookmarkStart w:id="68" w:name="_Toc8640"/>
      <w:bookmarkStart w:id="69" w:name="_Toc21574"/>
      <w:bookmarkStart w:id="70" w:name="_Toc17698"/>
      <w:bookmarkStart w:id="71" w:name="_Toc28743"/>
      <w:bookmarkStart w:id="72" w:name="_Toc20010"/>
      <w:r>
        <w:rPr>
          <w:rFonts w:hint="eastAsia" w:asciiTheme="minorEastAsia" w:hAnsiTheme="minorEastAsia" w:eastAsiaTheme="minorEastAsia" w:cstheme="minorEastAsia"/>
          <w:sz w:val="24"/>
          <w:szCs w:val="24"/>
        </w:rPr>
        <w:t>第五章评标方法</w:t>
      </w:r>
      <w:bookmarkEnd w:id="68"/>
      <w:bookmarkEnd w:id="69"/>
      <w:bookmarkEnd w:id="70"/>
      <w:bookmarkEnd w:id="71"/>
      <w:bookmarkEnd w:id="72"/>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bookmarkStart w:id="73" w:name="_Toc9188"/>
      <w:bookmarkStart w:id="74" w:name="_Toc24899"/>
      <w:bookmarkStart w:id="75" w:name="_Toc8351"/>
      <w:bookmarkStart w:id="76" w:name="_Toc32422"/>
      <w:bookmarkStart w:id="77" w:name="_Toc19912"/>
      <w:r>
        <w:rPr>
          <w:rFonts w:hint="eastAsia" w:asciiTheme="minorEastAsia" w:hAnsiTheme="minorEastAsia" w:eastAsiaTheme="minorEastAsia" w:cstheme="minorEastAsia"/>
          <w:sz w:val="24"/>
          <w:szCs w:val="24"/>
        </w:rPr>
        <w:t>第六章投标文件格式及构成</w:t>
      </w:r>
      <w:bookmarkEnd w:id="73"/>
      <w:bookmarkEnd w:id="74"/>
      <w:bookmarkEnd w:id="75"/>
      <w:bookmarkEnd w:id="76"/>
      <w:bookmarkEnd w:id="77"/>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bookmarkStart w:id="78" w:name="_Toc23499"/>
      <w:bookmarkStart w:id="79" w:name="_Toc3439"/>
      <w:bookmarkStart w:id="80" w:name="_Toc5105"/>
      <w:bookmarkStart w:id="81" w:name="_Toc19191"/>
      <w:bookmarkStart w:id="82" w:name="_Toc32632"/>
      <w:r>
        <w:rPr>
          <w:rFonts w:hint="eastAsia" w:asciiTheme="minorEastAsia" w:hAnsiTheme="minorEastAsia" w:eastAsiaTheme="minorEastAsia" w:cstheme="minorEastAsia"/>
          <w:sz w:val="24"/>
          <w:szCs w:val="24"/>
        </w:rPr>
        <w:t>第七章技术、商务</w:t>
      </w:r>
      <w:r>
        <w:rPr>
          <w:rFonts w:hint="eastAsia" w:asciiTheme="minorEastAsia" w:hAnsiTheme="minorEastAsia" w:eastAsiaTheme="minorEastAsia" w:cstheme="minorEastAsia"/>
          <w:sz w:val="24"/>
          <w:szCs w:val="24"/>
          <w:lang w:val="en-US"/>
        </w:rPr>
        <w:t>及</w:t>
      </w:r>
      <w:r>
        <w:rPr>
          <w:rFonts w:hint="eastAsia" w:asciiTheme="minorEastAsia" w:hAnsiTheme="minorEastAsia" w:eastAsiaTheme="minorEastAsia" w:cstheme="minorEastAsia"/>
          <w:sz w:val="24"/>
          <w:szCs w:val="24"/>
        </w:rPr>
        <w:t>其他要求</w:t>
      </w:r>
      <w:bookmarkEnd w:id="78"/>
      <w:bookmarkEnd w:id="79"/>
      <w:bookmarkEnd w:id="80"/>
      <w:bookmarkEnd w:id="81"/>
      <w:bookmarkEnd w:id="82"/>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5.2</w:t>
      </w:r>
      <w:r>
        <w:rPr>
          <w:rFonts w:hint="eastAsia" w:asciiTheme="minorEastAsia" w:hAnsiTheme="minorEastAsia" w:eastAsiaTheme="minorEastAsia" w:cstheme="minorEastAsia"/>
          <w:sz w:val="24"/>
          <w:szCs w:val="24"/>
        </w:rPr>
        <w:t>投标供应商应认真阅读招标文件中所有的事项、格式、条款等要求。如果投标供应商没有按照招标文件要求提交全部资料，或者投标文件没有对招标文件在各方面都做出实质性响应，由此带来的不利于投标供应商的评标结果，其风险由投标供应商承担。</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6.</w:t>
      </w:r>
      <w:r>
        <w:rPr>
          <w:rFonts w:hint="eastAsia" w:asciiTheme="minorEastAsia" w:hAnsiTheme="minorEastAsia" w:eastAsiaTheme="minorEastAsia" w:cstheme="minorEastAsia"/>
          <w:sz w:val="24"/>
          <w:szCs w:val="24"/>
        </w:rPr>
        <w:t>招标文件的修改和澄清</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6.1</w:t>
      </w:r>
      <w:r>
        <w:rPr>
          <w:rFonts w:hint="eastAsia" w:asciiTheme="minorEastAsia" w:hAnsiTheme="minorEastAsia" w:eastAsiaTheme="minorEastAsia" w:cstheme="minorEastAsia"/>
          <w:sz w:val="24"/>
          <w:szCs w:val="24"/>
        </w:rPr>
        <w:t>在投标截止时间前，采购单位无论出于何种原因，可以对招标文件进行澄清或者修改。</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6.2</w:t>
      </w:r>
      <w:r>
        <w:rPr>
          <w:rFonts w:hint="eastAsia" w:asciiTheme="minorEastAsia" w:hAnsiTheme="minorEastAsia" w:eastAsiaTheme="minorEastAsia" w:cstheme="minorEastAsia"/>
          <w:sz w:val="24"/>
          <w:szCs w:val="24"/>
        </w:rPr>
        <w:t>采购人对已发出的招标文件进行澄清或者修改，将在招标文件要求的提交投标文件截止时间十五日前进行，并将澄清或者修改的内容在遵义市公共资源电子交易服务系统上公布，投标供应商自行登录系统查阅或下载。该澄清或者修改的内容为招标文件的组成部分。</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6.3</w:t>
      </w:r>
      <w:r>
        <w:rPr>
          <w:rFonts w:hint="eastAsia" w:asciiTheme="minorEastAsia" w:hAnsiTheme="minorEastAsia" w:eastAsiaTheme="minorEastAsia" w:cstheme="minorEastAsia"/>
          <w:sz w:val="24"/>
          <w:szCs w:val="24"/>
        </w:rPr>
        <w:t>投标供应商要求对招标文件进行澄清的，公告发布之日起7个工作日内通过全国公共资源交易平台（贵州省.遵义市）会员系统向采购人提出。</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6.4</w:t>
      </w:r>
      <w:r>
        <w:rPr>
          <w:rFonts w:hint="eastAsia" w:asciiTheme="minorEastAsia" w:hAnsiTheme="minorEastAsia" w:eastAsiaTheme="minorEastAsia" w:cstheme="minorEastAsia"/>
          <w:sz w:val="24"/>
          <w:szCs w:val="24"/>
        </w:rPr>
        <w:t>任何要求对招标文件进行澄清或提出质疑的投标供应商，均应在公告发布之日起7个工作日内通过全国公共资源交易平台（贵州省.遵义市）会员系统向采购人提出，同时提交有效证据。投标供应商行使质疑权时，须坚持“谁质疑谁举证”，遵守“实事求是”和“谨慎性”原则，承担使用虚假材料或恶意方式质疑的法律责任，采购人将遵循“谁过错谁负担”的原则，在过错方提交的投标保证金中扣除相关的调查论证费用。</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6.5</w:t>
      </w:r>
      <w:r>
        <w:rPr>
          <w:rFonts w:hint="eastAsia" w:asciiTheme="minorEastAsia" w:hAnsiTheme="minorEastAsia" w:eastAsiaTheme="minorEastAsia" w:cstheme="minorEastAsia"/>
          <w:sz w:val="24"/>
          <w:szCs w:val="24"/>
        </w:rPr>
        <w:t>在投标截止时间前，采购单位可以视采购具体情况，延长投标截止时间和开标时间，并在招标文件要求提交投标文件的截止时间前，将变更时间通过全国公共资源交易平台（贵州省.遵义市）会员系统通知所有</w:t>
      </w:r>
      <w:r>
        <w:rPr>
          <w:rFonts w:hint="eastAsia" w:asciiTheme="minorEastAsia" w:hAnsiTheme="minorEastAsia" w:eastAsiaTheme="minorEastAsia" w:cstheme="minorEastAsia"/>
          <w:sz w:val="24"/>
          <w:szCs w:val="24"/>
          <w:lang w:val="en-US"/>
        </w:rPr>
        <w:t>获取</w:t>
      </w:r>
      <w:r>
        <w:rPr>
          <w:rFonts w:hint="eastAsia" w:asciiTheme="minorEastAsia" w:hAnsiTheme="minorEastAsia" w:eastAsiaTheme="minorEastAsia" w:cstheme="minorEastAsia"/>
          <w:sz w:val="24"/>
          <w:szCs w:val="24"/>
        </w:rPr>
        <w:t>了招标文件的供应商。</w:t>
      </w:r>
    </w:p>
    <w:p>
      <w:pPr>
        <w:pStyle w:val="34"/>
        <w:tabs>
          <w:tab w:val="left" w:pos="677"/>
        </w:tabs>
        <w:spacing w:before="96" w:line="360" w:lineRule="auto"/>
        <w:ind w:right="618" w:firstLine="480" w:firstLineChars="20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三.投标文件的编制</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7.</w:t>
      </w:r>
      <w:r>
        <w:rPr>
          <w:rFonts w:hint="eastAsia" w:asciiTheme="minorEastAsia" w:hAnsiTheme="minorEastAsia" w:eastAsiaTheme="minorEastAsia" w:cstheme="minorEastAsia"/>
          <w:sz w:val="24"/>
          <w:szCs w:val="24"/>
        </w:rPr>
        <w:t>投标的语言</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7.1</w:t>
      </w:r>
      <w:r>
        <w:rPr>
          <w:rFonts w:hint="eastAsia" w:asciiTheme="minorEastAsia" w:hAnsiTheme="minorEastAsia" w:eastAsiaTheme="minorEastAsia" w:cstheme="minorEastAsia"/>
          <w:sz w:val="24"/>
          <w:szCs w:val="24"/>
        </w:rPr>
        <w:t xml:space="preserve">投标供应商提交的投标文件以及投标供应商与采购人就有关投标的所有来往函电均应使用中文。 </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8.</w:t>
      </w:r>
      <w:r>
        <w:rPr>
          <w:rFonts w:hint="eastAsia" w:asciiTheme="minorEastAsia" w:hAnsiTheme="minorEastAsia" w:eastAsiaTheme="minorEastAsia" w:cstheme="minorEastAsia"/>
          <w:sz w:val="24"/>
          <w:szCs w:val="24"/>
        </w:rPr>
        <w:t>投标文件的构成</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8.1</w:t>
      </w:r>
      <w:r>
        <w:rPr>
          <w:rFonts w:hint="eastAsia" w:asciiTheme="minorEastAsia" w:hAnsiTheme="minorEastAsia" w:eastAsiaTheme="minorEastAsia" w:cstheme="minorEastAsia"/>
          <w:sz w:val="24"/>
          <w:szCs w:val="24"/>
        </w:rPr>
        <w:t>投标供应商提交的投标文件应包括下列部分的内容：</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8.1.1</w:t>
      </w:r>
      <w:r>
        <w:rPr>
          <w:rFonts w:hint="eastAsia" w:asciiTheme="minorEastAsia" w:hAnsiTheme="minorEastAsia" w:eastAsiaTheme="minorEastAsia" w:cstheme="minorEastAsia"/>
          <w:sz w:val="24"/>
          <w:szCs w:val="24"/>
        </w:rPr>
        <w:t>按照投标供应商须知的要求和投标文件规定格式填写的投标函等；并按要求格式出具的法定代表人授权书等内容。</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8.1.2</w:t>
      </w:r>
      <w:r>
        <w:rPr>
          <w:rFonts w:hint="eastAsia" w:asciiTheme="minorEastAsia" w:hAnsiTheme="minorEastAsia" w:eastAsiaTheme="minorEastAsia" w:cstheme="minorEastAsia"/>
          <w:sz w:val="24"/>
          <w:szCs w:val="24"/>
        </w:rPr>
        <w:t>按照招标文件投标供应商须知前附表的要求提交的资格证明文件；</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8.2</w:t>
      </w:r>
      <w:r>
        <w:rPr>
          <w:rFonts w:hint="eastAsia" w:asciiTheme="minorEastAsia" w:hAnsiTheme="minorEastAsia" w:eastAsiaTheme="minorEastAsia" w:cstheme="minorEastAsia"/>
          <w:sz w:val="24"/>
          <w:szCs w:val="24"/>
        </w:rPr>
        <w:t>如果在招标文件中没有允许提供备选方案，则每个投标供应商只允许提交一个投标方案，否则，其投标将被拒绝。</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9.</w:t>
      </w:r>
      <w:r>
        <w:rPr>
          <w:rFonts w:hint="eastAsia" w:asciiTheme="minorEastAsia" w:hAnsiTheme="minorEastAsia" w:eastAsiaTheme="minorEastAsia" w:cstheme="minorEastAsia"/>
          <w:sz w:val="24"/>
          <w:szCs w:val="24"/>
        </w:rPr>
        <w:t>投标文件格式</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 xml:space="preserve">9.1 </w:t>
      </w:r>
      <w:r>
        <w:rPr>
          <w:rFonts w:hint="eastAsia" w:asciiTheme="minorEastAsia" w:hAnsiTheme="minorEastAsia" w:eastAsiaTheme="minorEastAsia" w:cstheme="minorEastAsia"/>
          <w:sz w:val="24"/>
          <w:szCs w:val="24"/>
        </w:rPr>
        <w:t>投标供应商应按照招标文件中“投标文件格式及构成”所提供的格式和要求制作投标文件，明确表达投标意愿，详细说明投标技术参数、承诺及价格等。</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 xml:space="preserve">9.2 </w:t>
      </w:r>
      <w:r>
        <w:rPr>
          <w:rFonts w:hint="eastAsia" w:asciiTheme="minorEastAsia" w:hAnsiTheme="minorEastAsia" w:eastAsiaTheme="minorEastAsia" w:cstheme="minorEastAsia"/>
          <w:sz w:val="24"/>
          <w:szCs w:val="24"/>
        </w:rPr>
        <w:t>投标供应商应完整地提供招标文件要求的数据和资料。</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10.投标货币：投标应以人民币报价。</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lang w:val="en-US"/>
        </w:rPr>
        <w:t>.</w:t>
      </w:r>
      <w:r>
        <w:rPr>
          <w:rFonts w:hint="eastAsia" w:asciiTheme="minorEastAsia" w:hAnsiTheme="minorEastAsia" w:eastAsiaTheme="minorEastAsia" w:cstheme="minorEastAsia"/>
          <w:sz w:val="24"/>
          <w:szCs w:val="24"/>
        </w:rPr>
        <w:t>投标有效期</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11.1</w:t>
      </w:r>
      <w:r>
        <w:rPr>
          <w:rFonts w:hint="eastAsia" w:asciiTheme="minorEastAsia" w:hAnsiTheme="minorEastAsia" w:eastAsiaTheme="minorEastAsia" w:cstheme="minorEastAsia"/>
          <w:sz w:val="24"/>
          <w:szCs w:val="24"/>
        </w:rPr>
        <w:t>在投标供应商须知前附表规定的投标有效期内，投标供应商不得要求撤销或修改其投标文件；若投标供应商有此要求，则采购人有权没收其投标保证金。</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11.2</w:t>
      </w:r>
      <w:r>
        <w:rPr>
          <w:rFonts w:hint="eastAsia" w:asciiTheme="minorEastAsia" w:hAnsiTheme="minorEastAsia" w:eastAsiaTheme="minorEastAsia" w:cstheme="minorEastAsia"/>
          <w:sz w:val="24"/>
          <w:szCs w:val="24"/>
        </w:rPr>
        <w:t>出现特殊情况需要延长投标有效期的，采购人以书面形式通知所有投标供应商延长投标有效期。投标供应商同意延长的，应相应延长其投标保证金的有效期，但不得要求修改或撤销其投标文件；投标供应商拒绝延长的，其投标无效，但投标供应商有权收回其投标保证金。</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12.</w:t>
      </w:r>
      <w:r>
        <w:rPr>
          <w:rFonts w:hint="eastAsia" w:asciiTheme="minorEastAsia" w:hAnsiTheme="minorEastAsia" w:eastAsiaTheme="minorEastAsia" w:cstheme="minorEastAsia"/>
          <w:sz w:val="24"/>
          <w:szCs w:val="24"/>
        </w:rPr>
        <w:t>投标保证金</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12.1</w:t>
      </w:r>
      <w:r>
        <w:rPr>
          <w:rFonts w:hint="eastAsia" w:asciiTheme="minorEastAsia" w:hAnsiTheme="minorEastAsia" w:eastAsiaTheme="minorEastAsia" w:cstheme="minorEastAsia"/>
          <w:sz w:val="24"/>
          <w:szCs w:val="24"/>
        </w:rPr>
        <w:t>投标供应商在递交投标文件的同时，应按投标供应商须知前附表规定的金额、交付形式交纳投标保证金，并作为其投标文件的组成部分。</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12.2</w:t>
      </w:r>
      <w:r>
        <w:rPr>
          <w:rFonts w:hint="eastAsia" w:asciiTheme="minorEastAsia" w:hAnsiTheme="minorEastAsia" w:eastAsiaTheme="minorEastAsia" w:cstheme="minorEastAsia"/>
          <w:sz w:val="24"/>
          <w:szCs w:val="24"/>
        </w:rPr>
        <w:t>投标供应商不按投标须知前附表第 11 项要求提交投标保证金的，其投标文件作废标处理。</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12.3</w:t>
      </w:r>
      <w:r>
        <w:rPr>
          <w:rFonts w:hint="eastAsia" w:asciiTheme="minorEastAsia" w:hAnsiTheme="minorEastAsia" w:eastAsiaTheme="minorEastAsia" w:cstheme="minorEastAsia"/>
          <w:sz w:val="24"/>
          <w:szCs w:val="24"/>
        </w:rPr>
        <w:t>投标保证金的退还：详见投标须知前附表第11批要求。</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12.4</w:t>
      </w:r>
      <w:r>
        <w:rPr>
          <w:rFonts w:hint="eastAsia" w:asciiTheme="minorEastAsia" w:hAnsiTheme="minorEastAsia" w:eastAsiaTheme="minorEastAsia" w:cstheme="minorEastAsia"/>
          <w:sz w:val="24"/>
          <w:szCs w:val="24"/>
        </w:rPr>
        <w:t>有下列情形之一的，投标保证金将不予退还：</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1</w:t>
      </w:r>
      <w:r>
        <w:rPr>
          <w:rFonts w:hint="eastAsia" w:asciiTheme="minorEastAsia" w:hAnsiTheme="minorEastAsia" w:eastAsiaTheme="minorEastAsia" w:cstheme="minorEastAsia"/>
          <w:sz w:val="24"/>
          <w:szCs w:val="24"/>
        </w:rPr>
        <w:t>）投标供应商在规定的投标有效期内撤销或修改其投标文件；</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2</w:t>
      </w:r>
      <w:r>
        <w:rPr>
          <w:rFonts w:hint="eastAsia" w:asciiTheme="minorEastAsia" w:hAnsiTheme="minorEastAsia" w:eastAsiaTheme="minorEastAsia" w:cstheme="minorEastAsia"/>
          <w:sz w:val="24"/>
          <w:szCs w:val="24"/>
        </w:rPr>
        <w:t>）投标供应商不接受按投标供应商须知前附表的规定对其投标文件中细微偏差进行澄清与补正；</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3</w:t>
      </w:r>
      <w:r>
        <w:rPr>
          <w:rFonts w:hint="eastAsia" w:asciiTheme="minorEastAsia" w:hAnsiTheme="minorEastAsia" w:eastAsiaTheme="minorEastAsia" w:cstheme="minorEastAsia"/>
          <w:sz w:val="24"/>
          <w:szCs w:val="24"/>
        </w:rPr>
        <w:t>）中标供应商在收到中标通知书后，不按合同要求缴纳履约保证金（如有），或是无正当理由拒签合同协议书。</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4</w:t>
      </w:r>
      <w:r>
        <w:rPr>
          <w:rFonts w:hint="eastAsia" w:asciiTheme="minorEastAsia" w:hAnsiTheme="minorEastAsia" w:eastAsiaTheme="minorEastAsia" w:cstheme="minorEastAsia"/>
          <w:sz w:val="24"/>
          <w:szCs w:val="24"/>
        </w:rPr>
        <w:t>）其它不符合招投标法规定或招标文件规定的行为。</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13.投标报价和投标方案</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13.1</w:t>
      </w:r>
      <w:r>
        <w:rPr>
          <w:rFonts w:hint="eastAsia" w:asciiTheme="minorEastAsia" w:hAnsiTheme="minorEastAsia" w:eastAsiaTheme="minorEastAsia" w:cstheme="minorEastAsia"/>
          <w:sz w:val="24"/>
          <w:szCs w:val="24"/>
        </w:rPr>
        <w:t>投标供应商应在投标报价表中标明，本次投标项目的所有单项价格和总价。除招标文件中要求提供备选方案之外，任何有选择的报价将不予接受，每个项目只允许有一个报价。</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13.2</w:t>
      </w:r>
      <w:r>
        <w:rPr>
          <w:rFonts w:hint="eastAsia" w:asciiTheme="minorEastAsia" w:hAnsiTheme="minorEastAsia" w:eastAsiaTheme="minorEastAsia" w:cstheme="minorEastAsia"/>
          <w:sz w:val="24"/>
          <w:szCs w:val="24"/>
        </w:rPr>
        <w:t>投标报价表中标明的价格应为履行合同的固定价格，不得以任何理由予以变更。以可调整的价格提交的投标文件有可能被拒绝。</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13.3</w:t>
      </w:r>
      <w:r>
        <w:rPr>
          <w:rFonts w:hint="eastAsia" w:asciiTheme="minorEastAsia" w:hAnsiTheme="minorEastAsia" w:eastAsiaTheme="minorEastAsia" w:cstheme="minorEastAsia"/>
          <w:sz w:val="24"/>
          <w:szCs w:val="24"/>
        </w:rPr>
        <w:t>报价要求：见“投标报价表及投标</w:t>
      </w:r>
      <w:r>
        <w:rPr>
          <w:rFonts w:hint="eastAsia" w:asciiTheme="minorEastAsia" w:hAnsiTheme="minorEastAsia" w:eastAsiaTheme="minorEastAsia" w:cstheme="minorEastAsia"/>
          <w:bCs/>
          <w:sz w:val="24"/>
          <w:szCs w:val="24"/>
        </w:rPr>
        <w:t>供应商</w:t>
      </w:r>
      <w:r>
        <w:rPr>
          <w:rFonts w:hint="eastAsia" w:asciiTheme="minorEastAsia" w:hAnsiTheme="minorEastAsia" w:eastAsiaTheme="minorEastAsia" w:cstheme="minorEastAsia"/>
          <w:sz w:val="24"/>
          <w:szCs w:val="24"/>
        </w:rPr>
        <w:t>须知前附表”</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14.</w:t>
      </w:r>
      <w:r>
        <w:rPr>
          <w:rFonts w:hint="eastAsia" w:asciiTheme="minorEastAsia" w:hAnsiTheme="minorEastAsia" w:eastAsiaTheme="minorEastAsia" w:cstheme="minorEastAsia"/>
          <w:sz w:val="24"/>
          <w:szCs w:val="24"/>
        </w:rPr>
        <w:t>证明投标供应商合格和资格的文件。投标供应商应按照招标文件投标供应商须知前附表的要求，在投标文件中提交合格的资格证明文件。如果必备的资格证明文件不全或不合格的，其投标将被拒绝。</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15.</w:t>
      </w:r>
      <w:r>
        <w:rPr>
          <w:rFonts w:hint="eastAsia" w:asciiTheme="minorEastAsia" w:hAnsiTheme="minorEastAsia" w:eastAsiaTheme="minorEastAsia" w:cstheme="minorEastAsia"/>
          <w:sz w:val="24"/>
          <w:szCs w:val="24"/>
        </w:rPr>
        <w:t>证明货物及服务的合格性和符合招标文件规定的文件</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15.1投标供应商应在投标文件中提交货物及服务合格并符合招标文件要求的证明文件。</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15.2上述证明文件可以是文字资料、图纸和数据，它包括：</w:t>
      </w:r>
      <w:r>
        <w:rPr>
          <w:rFonts w:hint="eastAsia" w:asciiTheme="minorEastAsia" w:hAnsiTheme="minorEastAsia" w:eastAsiaTheme="minorEastAsia" w:cstheme="minorEastAsia"/>
          <w:sz w:val="24"/>
          <w:szCs w:val="24"/>
        </w:rPr>
        <w:t>货物或服务主要技术指标的详细说明；逐条对招标文件技术要求进行应答，说明所提供的货物或服务是否对招标的技术规格做出了实质性的响应。</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16.</w:t>
      </w:r>
      <w:r>
        <w:rPr>
          <w:rFonts w:hint="eastAsia" w:asciiTheme="minorEastAsia" w:hAnsiTheme="minorEastAsia" w:eastAsiaTheme="minorEastAsia" w:cstheme="minorEastAsia"/>
          <w:sz w:val="24"/>
          <w:szCs w:val="24"/>
        </w:rPr>
        <w:t>投标有效期</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16.1</w:t>
      </w:r>
      <w:r>
        <w:rPr>
          <w:rFonts w:hint="eastAsia" w:asciiTheme="minorEastAsia" w:hAnsiTheme="minorEastAsia" w:eastAsiaTheme="minorEastAsia" w:cstheme="minorEastAsia"/>
          <w:sz w:val="24"/>
          <w:szCs w:val="24"/>
        </w:rPr>
        <w:t>投标应在“投标供应商须知前附表”中规定的期限内保持有效。投标有效期不满足规定有效期的，将被视作无效标。</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16.2</w:t>
      </w:r>
      <w:r>
        <w:rPr>
          <w:rFonts w:hint="eastAsia" w:asciiTheme="minorEastAsia" w:hAnsiTheme="minorEastAsia" w:eastAsiaTheme="minorEastAsia" w:cstheme="minorEastAsia"/>
          <w:sz w:val="24"/>
          <w:szCs w:val="24"/>
        </w:rPr>
        <w:t xml:space="preserve">在原定投标有效期满之前，如果出现特殊情况，采购人将以书面形式向投标供应商发出延长投标有效期的通知，此情况下，采购人与投标供应商以前在原投标有效期条件下的全部权利、责任和义务，将适用于延长后新的投标有效期。 </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17.</w:t>
      </w:r>
      <w:r>
        <w:rPr>
          <w:rFonts w:hint="eastAsia" w:asciiTheme="minorEastAsia" w:hAnsiTheme="minorEastAsia" w:eastAsiaTheme="minorEastAsia" w:cstheme="minorEastAsia"/>
          <w:sz w:val="24"/>
          <w:szCs w:val="24"/>
        </w:rPr>
        <w:t>投标文件的式样和签署</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17.1 投标供应商应按照投标供应商须知的要求, </w:t>
      </w:r>
      <w:r>
        <w:rPr>
          <w:rFonts w:hint="eastAsia" w:asciiTheme="minorEastAsia" w:hAnsiTheme="minorEastAsia" w:eastAsiaTheme="minorEastAsia" w:cstheme="minorEastAsia"/>
          <w:sz w:val="24"/>
          <w:szCs w:val="24"/>
          <w:lang w:val="en-US"/>
        </w:rPr>
        <w:t>准备</w:t>
      </w:r>
      <w:r>
        <w:rPr>
          <w:rFonts w:hint="eastAsia" w:asciiTheme="minorEastAsia" w:hAnsiTheme="minorEastAsia" w:eastAsiaTheme="minorEastAsia" w:cstheme="minorEastAsia"/>
          <w:sz w:val="24"/>
          <w:szCs w:val="24"/>
        </w:rPr>
        <w:t>非加密的电子投标文件（.nZYTF 格式）U盘一份（此U盘模式针对投标供应商在遵义市公共资源电子交易服务系统上传了投标文件后，但在开标时其投标文件解密失败的情况下使用）。电子文档应与投标文件内容一致。</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dstrike/>
          <w:sz w:val="24"/>
          <w:szCs w:val="24"/>
        </w:rPr>
      </w:pPr>
      <w:r>
        <w:rPr>
          <w:rFonts w:hint="eastAsia" w:asciiTheme="minorEastAsia" w:hAnsiTheme="minorEastAsia" w:eastAsiaTheme="minorEastAsia" w:cstheme="minorEastAsia"/>
          <w:dstrike/>
          <w:sz w:val="24"/>
          <w:szCs w:val="24"/>
        </w:rPr>
        <w:t>17.2 投标文件需打印或用不褪色的蓝(黑)墨水(汁)书写,并由投标供应商法定代表人或经法定代表人正式授权的代表签字。授权代表须将以书面形式出具的“授权书”附在投标文件中。</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17.3 任何行间插字、涂改和增删，必须由投标文件签字人在旁边签字盖章才有效。</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17.4 因字迹潦草、表述不清或不按招标文件给定格式编制的投标文件，所引起的对投标供应商不利的后果，由投标供应商自行负责。</w:t>
      </w:r>
    </w:p>
    <w:p>
      <w:pPr>
        <w:pStyle w:val="34"/>
        <w:tabs>
          <w:tab w:val="left" w:pos="677"/>
        </w:tabs>
        <w:spacing w:before="96" w:line="360" w:lineRule="auto"/>
        <w:ind w:right="618" w:firstLine="480" w:firstLineChars="20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四、投标文件的递交</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18.</w:t>
      </w: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val="en-US"/>
        </w:rPr>
        <w:t>电子文档</w:t>
      </w:r>
      <w:r>
        <w:rPr>
          <w:rFonts w:hint="eastAsia" w:asciiTheme="minorEastAsia" w:hAnsiTheme="minorEastAsia" w:eastAsiaTheme="minorEastAsia" w:cstheme="minorEastAsia"/>
          <w:sz w:val="24"/>
          <w:szCs w:val="24"/>
        </w:rPr>
        <w:t>）的密封和标记</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电子U盘盘面以贴标签方式标记：</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sz w:val="24"/>
          <w:szCs w:val="24"/>
          <w:u w:val="single"/>
        </w:rPr>
        <w:t>遵义市中医院关于互联网医院建设项目采购投标文件</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采购人名称：</w:t>
      </w:r>
      <w:r>
        <w:rPr>
          <w:rFonts w:hint="eastAsia" w:asciiTheme="minorEastAsia" w:hAnsiTheme="minorEastAsia" w:eastAsiaTheme="minorEastAsia" w:cstheme="minorEastAsia"/>
          <w:sz w:val="24"/>
          <w:szCs w:val="24"/>
          <w:u w:val="single"/>
        </w:rPr>
        <w:t xml:space="preserve">遵义市中医院 </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投标供应商名称：（盖单位鲜章）</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如果投标供应商未对投标文件（</w:t>
      </w:r>
      <w:r>
        <w:rPr>
          <w:rFonts w:hint="eastAsia" w:asciiTheme="minorEastAsia" w:hAnsiTheme="minorEastAsia" w:eastAsiaTheme="minorEastAsia" w:cstheme="minorEastAsia"/>
          <w:sz w:val="24"/>
          <w:szCs w:val="24"/>
          <w:lang w:val="en-US"/>
        </w:rPr>
        <w:t>电子文档</w:t>
      </w:r>
      <w:r>
        <w:rPr>
          <w:rFonts w:hint="eastAsia" w:asciiTheme="minorEastAsia" w:hAnsiTheme="minorEastAsia" w:eastAsiaTheme="minorEastAsia" w:cstheme="minorEastAsia"/>
          <w:sz w:val="24"/>
          <w:szCs w:val="24"/>
        </w:rPr>
        <w:t>）按上述要求进行完好密封，因此产生风险由投标供应商承担。</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投标截止时间投标供应商应按采购人要求的投标地点，在投标截止时间前，将投标文件（电子文档）递交至指定处</w:t>
      </w:r>
      <w:r>
        <w:rPr>
          <w:rFonts w:hint="eastAsia" w:asciiTheme="minorEastAsia" w:hAnsiTheme="minorEastAsia" w:eastAsiaTheme="minorEastAsia" w:cstheme="minorEastAsia"/>
          <w:b/>
          <w:bCs/>
          <w:sz w:val="24"/>
          <w:szCs w:val="24"/>
        </w:rPr>
        <w:t>（选择远程投标、不见面开标的供应商无需现场提供，在开标后2小时内将投标文件电子档（必须与上传系统的文件保持一致）发送至911090451@qq.com）。</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19.</w:t>
      </w:r>
      <w:r>
        <w:rPr>
          <w:rFonts w:hint="eastAsia" w:asciiTheme="minorEastAsia" w:hAnsiTheme="minorEastAsia" w:eastAsiaTheme="minorEastAsia" w:cstheme="minorEastAsia"/>
          <w:sz w:val="24"/>
          <w:szCs w:val="24"/>
        </w:rPr>
        <w:t>迟交的投标文件（电子文档）按照投标供应商须知的规定，采购人将拒绝接受并退回在规定的投标截止时间后收到的任何投标文件。</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20.</w:t>
      </w:r>
      <w:r>
        <w:rPr>
          <w:rFonts w:hint="eastAsia" w:asciiTheme="minorEastAsia" w:hAnsiTheme="minorEastAsia" w:eastAsiaTheme="minorEastAsia" w:cstheme="minorEastAsia"/>
          <w:sz w:val="24"/>
          <w:szCs w:val="24"/>
        </w:rPr>
        <w:t>投标的修改与撤回</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20.1</w:t>
      </w:r>
      <w:r>
        <w:rPr>
          <w:rFonts w:hint="eastAsia" w:asciiTheme="minorEastAsia" w:hAnsiTheme="minorEastAsia" w:eastAsiaTheme="minorEastAsia" w:cstheme="minorEastAsia"/>
          <w:sz w:val="24"/>
          <w:szCs w:val="24"/>
        </w:rPr>
        <w:t>投标供应商在递交投标文件后，可以修改或撤回其投标文件，也可以提出价格变动声明，但投标供应商必须在规定的投标截止时间之前将修改或撤回或变动价格的通知递交到采购人。</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20.2</w:t>
      </w:r>
      <w:r>
        <w:rPr>
          <w:rFonts w:hint="eastAsia" w:asciiTheme="minorEastAsia" w:hAnsiTheme="minorEastAsia" w:eastAsiaTheme="minorEastAsia" w:cstheme="minorEastAsia"/>
          <w:sz w:val="24"/>
          <w:szCs w:val="24"/>
        </w:rPr>
        <w:t>投标供应商的修改或撤回通知应按本须知第 18 条的规定编制、密封、标记和递交。</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20.3</w:t>
      </w:r>
      <w:r>
        <w:rPr>
          <w:rFonts w:hint="eastAsia" w:asciiTheme="minorEastAsia" w:hAnsiTheme="minorEastAsia" w:eastAsiaTheme="minorEastAsia" w:cstheme="minorEastAsia"/>
          <w:sz w:val="24"/>
          <w:szCs w:val="24"/>
        </w:rPr>
        <w:t>在投标截止时间之后，投标供应商不得对其投标做任何修改或撤回。</w:t>
      </w:r>
    </w:p>
    <w:p>
      <w:pPr>
        <w:pStyle w:val="34"/>
        <w:tabs>
          <w:tab w:val="left" w:pos="677"/>
        </w:tabs>
        <w:spacing w:before="96" w:line="360" w:lineRule="auto"/>
        <w:ind w:right="618" w:firstLine="480" w:firstLineChars="20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五、开标与评标</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21.</w:t>
      </w:r>
      <w:r>
        <w:rPr>
          <w:rFonts w:hint="eastAsia" w:asciiTheme="minorEastAsia" w:hAnsiTheme="minorEastAsia" w:eastAsiaTheme="minorEastAsia" w:cstheme="minorEastAsia"/>
          <w:sz w:val="24"/>
          <w:szCs w:val="24"/>
        </w:rPr>
        <w:t>开标</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采购人在规定的时间和地点组织公开开标。开标时所有投标供应商须授权一名代表按时参加会议， 参加开标的代表应签名报到以证明其出席。</w:t>
      </w:r>
      <w:r>
        <w:rPr>
          <w:rFonts w:hint="eastAsia" w:asciiTheme="minorEastAsia" w:hAnsiTheme="minorEastAsia" w:eastAsiaTheme="minorEastAsia" w:cstheme="minorEastAsia"/>
          <w:b/>
          <w:bCs/>
          <w:sz w:val="24"/>
          <w:szCs w:val="24"/>
        </w:rPr>
        <w:t>（远程投标除外）</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21.1</w:t>
      </w:r>
      <w:r>
        <w:rPr>
          <w:rFonts w:hint="eastAsia" w:asciiTheme="minorEastAsia" w:hAnsiTheme="minorEastAsia" w:eastAsiaTheme="minorEastAsia" w:cstheme="minorEastAsia"/>
          <w:sz w:val="24"/>
          <w:szCs w:val="24"/>
        </w:rPr>
        <w:t>开标时，采购人当众宣读投标供应商名称、修改或撤回的书面通知（如果有）、投标价格，以及采购人认为合适的其他内容。只有在开标时唱出的价格和价格变动声明，评标时才能考虑。</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21.2</w:t>
      </w:r>
      <w:r>
        <w:rPr>
          <w:rFonts w:hint="eastAsia" w:asciiTheme="minorEastAsia" w:hAnsiTheme="minorEastAsia" w:eastAsiaTheme="minorEastAsia" w:cstheme="minorEastAsia"/>
          <w:sz w:val="24"/>
          <w:szCs w:val="24"/>
        </w:rPr>
        <w:t>在开标时没有启封和宣读的投标文件将原封退回给投标供应商。</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21.3</w:t>
      </w:r>
      <w:r>
        <w:rPr>
          <w:rFonts w:hint="eastAsia" w:asciiTheme="minorEastAsia" w:hAnsiTheme="minorEastAsia" w:eastAsiaTheme="minorEastAsia" w:cstheme="minorEastAsia"/>
          <w:sz w:val="24"/>
          <w:szCs w:val="24"/>
        </w:rPr>
        <w:t>采购人将做开标记录，存档备查。</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22.</w:t>
      </w:r>
      <w:r>
        <w:rPr>
          <w:rFonts w:hint="eastAsia" w:asciiTheme="minorEastAsia" w:hAnsiTheme="minorEastAsia" w:eastAsiaTheme="minorEastAsia" w:cstheme="minorEastAsia"/>
          <w:sz w:val="24"/>
          <w:szCs w:val="24"/>
        </w:rPr>
        <w:t>评标组织及评标原则</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22.1</w:t>
      </w:r>
      <w:r>
        <w:rPr>
          <w:rFonts w:hint="eastAsia" w:asciiTheme="minorEastAsia" w:hAnsiTheme="minorEastAsia" w:eastAsiaTheme="minorEastAsia" w:cstheme="minorEastAsia"/>
          <w:sz w:val="24"/>
          <w:szCs w:val="24"/>
        </w:rPr>
        <w:t>参照《中华人民共和国政府采购法》及相关规定，依法组建评标委员会。评标委员会按照招标文件规定的评标方法独立进行评标工作。</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22.2</w:t>
      </w:r>
      <w:r>
        <w:rPr>
          <w:rFonts w:hint="eastAsia" w:asciiTheme="minorEastAsia" w:hAnsiTheme="minorEastAsia" w:eastAsiaTheme="minorEastAsia" w:cstheme="minorEastAsia"/>
          <w:sz w:val="24"/>
          <w:szCs w:val="24"/>
        </w:rPr>
        <w:t>招标文件和投标文件是评标的依据，投标供应商不得在投标后使用任何方式对投标文件的实质性内容做任何更改。</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22.3</w:t>
      </w:r>
      <w:r>
        <w:rPr>
          <w:rFonts w:hint="eastAsia" w:asciiTheme="minorEastAsia" w:hAnsiTheme="minorEastAsia" w:eastAsiaTheme="minorEastAsia" w:cstheme="minorEastAsia"/>
          <w:sz w:val="24"/>
          <w:szCs w:val="24"/>
        </w:rPr>
        <w:t>在评标期间，评委会可要求投标供应商作出必要的澄清、说明或者补正。投标供应商的澄清、说明或者补正应当采用书面形式，由其授权的代表签字，并不得超出投标文件的范围或者改变投标文件的实质性内容。</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22.4</w:t>
      </w:r>
      <w:r>
        <w:rPr>
          <w:rFonts w:hint="eastAsia" w:asciiTheme="minorEastAsia" w:hAnsiTheme="minorEastAsia" w:eastAsiaTheme="minorEastAsia" w:cstheme="minorEastAsia"/>
          <w:sz w:val="24"/>
          <w:szCs w:val="24"/>
        </w:rPr>
        <w:t>如果投标供应商在澄清规定期限内，未能答复或拒绝答复评委会提出的澄清要求，将由评委会根据其投标文件按投标供应商最大风险进行评标。</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23.</w:t>
      </w:r>
      <w:r>
        <w:rPr>
          <w:rFonts w:hint="eastAsia" w:asciiTheme="minorEastAsia" w:hAnsiTheme="minorEastAsia" w:eastAsiaTheme="minorEastAsia" w:cstheme="minorEastAsia"/>
          <w:sz w:val="24"/>
          <w:szCs w:val="24"/>
        </w:rPr>
        <w:t>评标过程的保密</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23.1</w:t>
      </w:r>
      <w:r>
        <w:rPr>
          <w:rFonts w:hint="eastAsia" w:asciiTheme="minorEastAsia" w:hAnsiTheme="minorEastAsia" w:eastAsiaTheme="minorEastAsia" w:cstheme="minorEastAsia"/>
          <w:sz w:val="24"/>
          <w:szCs w:val="24"/>
        </w:rPr>
        <w:t>公开开标后，直至发出中标通知书时止，凡与审查、澄清、评价和比较投标的有关资料以及授标意见等，均不得向投标供应商及与评标无关的其他人透露。</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23.2</w:t>
      </w:r>
      <w:r>
        <w:rPr>
          <w:rFonts w:hint="eastAsia" w:asciiTheme="minorEastAsia" w:hAnsiTheme="minorEastAsia" w:eastAsiaTheme="minorEastAsia" w:cstheme="minorEastAsia"/>
          <w:sz w:val="24"/>
          <w:szCs w:val="24"/>
        </w:rPr>
        <w:t>在评标过程中，如果投标供应商试图在投标文件审查、澄清、评价和比较及授标意见方面向采购人施加任何影响，其投标将被拒绝。</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23.3</w:t>
      </w:r>
      <w:r>
        <w:rPr>
          <w:rFonts w:hint="eastAsia" w:asciiTheme="minorEastAsia" w:hAnsiTheme="minorEastAsia" w:eastAsiaTheme="minorEastAsia" w:cstheme="minorEastAsia"/>
          <w:sz w:val="24"/>
          <w:szCs w:val="24"/>
        </w:rPr>
        <w:t>评标方法</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23.4</w:t>
      </w:r>
      <w:r>
        <w:rPr>
          <w:rFonts w:hint="eastAsia" w:asciiTheme="minorEastAsia" w:hAnsiTheme="minorEastAsia" w:eastAsiaTheme="minorEastAsia" w:cstheme="minorEastAsia"/>
          <w:sz w:val="24"/>
          <w:szCs w:val="24"/>
        </w:rPr>
        <w:t>本次评标采用综合评分法： 具体见“ 第五章”评标办法。</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23.5</w:t>
      </w:r>
      <w:r>
        <w:rPr>
          <w:rFonts w:hint="eastAsia" w:asciiTheme="minorEastAsia" w:hAnsiTheme="minorEastAsia" w:eastAsiaTheme="minorEastAsia" w:cstheme="minorEastAsia"/>
          <w:sz w:val="24"/>
          <w:szCs w:val="24"/>
        </w:rPr>
        <w:t>评标程序</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按照初审、详评、推荐中标排序三个步骤进行评标。在上一步评审中不合者，不进入下一步的评审。</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23.6</w:t>
      </w:r>
      <w:r>
        <w:rPr>
          <w:rFonts w:hint="eastAsia" w:asciiTheme="minorEastAsia" w:hAnsiTheme="minorEastAsia" w:eastAsiaTheme="minorEastAsia" w:cstheme="minorEastAsia"/>
          <w:sz w:val="24"/>
          <w:szCs w:val="24"/>
        </w:rPr>
        <w:t>评标委员会</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23.6.1</w:t>
      </w:r>
      <w:r>
        <w:rPr>
          <w:rFonts w:hint="eastAsia" w:asciiTheme="minorEastAsia" w:hAnsiTheme="minorEastAsia" w:eastAsiaTheme="minorEastAsia" w:cstheme="minorEastAsia"/>
          <w:sz w:val="24"/>
          <w:szCs w:val="24"/>
        </w:rPr>
        <w:t>采购人将按照有关法律法规要求组建评标委员会。评标委员会按照招标文件规定的评标方法独立进行评标工作。</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23.7</w:t>
      </w:r>
      <w:r>
        <w:rPr>
          <w:rFonts w:hint="eastAsia" w:asciiTheme="minorEastAsia" w:hAnsiTheme="minorEastAsia" w:eastAsiaTheme="minorEastAsia" w:cstheme="minorEastAsia"/>
          <w:sz w:val="24"/>
          <w:szCs w:val="24"/>
        </w:rPr>
        <w:t>投标文件的澄清</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在评标期间，评委会可要求投标供应商作出必要的澄清、说明或者补正。投标供应商的澄清、说明或者补正应当采用书面形式，由其授权的代表签字，但不得超出投标文件的范围或者改变投标文件的实质性内容。</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23.8</w:t>
      </w:r>
      <w:r>
        <w:rPr>
          <w:rFonts w:hint="eastAsia" w:asciiTheme="minorEastAsia" w:hAnsiTheme="minorEastAsia" w:eastAsiaTheme="minorEastAsia" w:cstheme="minorEastAsia"/>
          <w:sz w:val="24"/>
          <w:szCs w:val="24"/>
        </w:rPr>
        <w:t>投标文件的初审（资格性、符合性和响应性检查）</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23.8.1</w:t>
      </w:r>
      <w:r>
        <w:rPr>
          <w:rFonts w:hint="eastAsia" w:asciiTheme="minorEastAsia" w:hAnsiTheme="minorEastAsia" w:eastAsiaTheme="minorEastAsia" w:cstheme="minorEastAsia"/>
          <w:sz w:val="24"/>
          <w:szCs w:val="24"/>
        </w:rPr>
        <w:t>评标委员会将审查投标文件是否完整、资格证明文件是否齐全。</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23.8.1.1</w:t>
      </w:r>
      <w:r>
        <w:rPr>
          <w:rFonts w:hint="eastAsia" w:asciiTheme="minorEastAsia" w:hAnsiTheme="minorEastAsia" w:eastAsiaTheme="minorEastAsia" w:cstheme="minorEastAsia"/>
          <w:sz w:val="24"/>
          <w:szCs w:val="24"/>
        </w:rPr>
        <w:t>计算错误将按以下方法更正：若单价计算的结果与开标时唱出的总价不一致，以单价为准修改总价； 若用文字表示的数值与用数字表示的数值不一致，以文字表示的数值为准。如果投标供应商不接受对其错误的更正，其投标将被拒绝。</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23.8.1.2</w:t>
      </w:r>
      <w:r>
        <w:rPr>
          <w:rFonts w:hint="eastAsia" w:asciiTheme="minorEastAsia" w:hAnsiTheme="minorEastAsia" w:eastAsiaTheme="minorEastAsia" w:cstheme="minorEastAsia"/>
          <w:sz w:val="24"/>
          <w:szCs w:val="24"/>
        </w:rPr>
        <w:t>对于投标文件中不构成实质性偏差的不正规、不一致或不规则，招标方可以接受。</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23.8.1.3</w:t>
      </w:r>
      <w:r>
        <w:rPr>
          <w:rFonts w:hint="eastAsia" w:asciiTheme="minorEastAsia" w:hAnsiTheme="minorEastAsia" w:eastAsiaTheme="minorEastAsia" w:cstheme="minorEastAsia"/>
          <w:sz w:val="24"/>
          <w:szCs w:val="24"/>
        </w:rPr>
        <w:t>在详细评标之前，根据本须知第25条的规定，评标委员会要审查每份投标文件是否实质上响应了招标文件的要求。实质上响应的投标应该是与招标文件要求的全部条款、条件和规格参数相符，没有重大偏离的投标。对关键条文的偏离、保留或反对将被视为是实质上的偏离。评标委员会审定投标的响应性只依据投标文件的内容，而不寻求外部的证据。</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23.8.1.4</w:t>
      </w:r>
      <w:r>
        <w:rPr>
          <w:rFonts w:hint="eastAsia" w:asciiTheme="minorEastAsia" w:hAnsiTheme="minorEastAsia" w:eastAsiaTheme="minorEastAsia" w:cstheme="minorEastAsia"/>
          <w:sz w:val="24"/>
          <w:szCs w:val="24"/>
        </w:rPr>
        <w:t>实质上没有响应招标文件要求的投标将被拒绝。投标供应商不得通过修正或撤销不合要求的偏离从而使其投标成为实质性响应的投标。如发现下列情况之一的， 其投标将被拒绝：</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1</w:t>
      </w:r>
      <w:r>
        <w:rPr>
          <w:rFonts w:hint="eastAsia" w:asciiTheme="minorEastAsia" w:hAnsiTheme="minorEastAsia" w:eastAsiaTheme="minorEastAsia" w:cstheme="minorEastAsia"/>
          <w:sz w:val="24"/>
          <w:szCs w:val="24"/>
        </w:rPr>
        <w:t>）未按规定程序进行的投标；</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2</w:t>
      </w:r>
      <w:r>
        <w:rPr>
          <w:rFonts w:hint="eastAsia" w:asciiTheme="minorEastAsia" w:hAnsiTheme="minorEastAsia" w:eastAsiaTheme="minorEastAsia" w:cstheme="minorEastAsia"/>
          <w:sz w:val="24"/>
          <w:szCs w:val="24"/>
        </w:rPr>
        <w:t>）有损国家利益、违反国家法律的投标；</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3</w:t>
      </w:r>
      <w:r>
        <w:rPr>
          <w:rFonts w:hint="eastAsia" w:asciiTheme="minorEastAsia" w:hAnsiTheme="minorEastAsia" w:eastAsiaTheme="minorEastAsia" w:cstheme="minorEastAsia"/>
          <w:sz w:val="24"/>
          <w:szCs w:val="24"/>
        </w:rPr>
        <w:t>）弄虚作假、无理取闹的投标；</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4</w:t>
      </w:r>
      <w:r>
        <w:rPr>
          <w:rFonts w:hint="eastAsia" w:asciiTheme="minorEastAsia" w:hAnsiTheme="minorEastAsia" w:eastAsiaTheme="minorEastAsia" w:cstheme="minorEastAsia"/>
          <w:sz w:val="24"/>
          <w:szCs w:val="24"/>
        </w:rPr>
        <w:t>）提供的投标文件不符合招标文件要求的；</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5</w:t>
      </w:r>
      <w:r>
        <w:rPr>
          <w:rFonts w:hint="eastAsia" w:asciiTheme="minorEastAsia" w:hAnsiTheme="minorEastAsia" w:eastAsiaTheme="minorEastAsia" w:cstheme="minorEastAsia"/>
          <w:sz w:val="24"/>
          <w:szCs w:val="24"/>
        </w:rPr>
        <w:t>）投标文件字迹潦草模糊，难以辨认，或内容不完整的投标；</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6</w:t>
      </w:r>
      <w:r>
        <w:rPr>
          <w:rFonts w:hint="eastAsia" w:asciiTheme="minorEastAsia" w:hAnsiTheme="minorEastAsia" w:eastAsiaTheme="minorEastAsia" w:cstheme="minorEastAsia"/>
          <w:sz w:val="24"/>
          <w:szCs w:val="24"/>
        </w:rPr>
        <w:t>）逾期送达的投标；</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7</w:t>
      </w:r>
      <w:r>
        <w:rPr>
          <w:rFonts w:hint="eastAsia" w:asciiTheme="minorEastAsia" w:hAnsiTheme="minorEastAsia" w:eastAsiaTheme="minorEastAsia" w:cstheme="minorEastAsia"/>
          <w:sz w:val="24"/>
          <w:szCs w:val="24"/>
        </w:rPr>
        <w:t>）超出经营范围投标的；</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8</w:t>
      </w:r>
      <w:r>
        <w:rPr>
          <w:rFonts w:hint="eastAsia" w:asciiTheme="minorEastAsia" w:hAnsiTheme="minorEastAsia" w:eastAsiaTheme="minorEastAsia" w:cstheme="minorEastAsia"/>
          <w:sz w:val="24"/>
          <w:szCs w:val="24"/>
        </w:rPr>
        <w:t>）资格证明文件不全或不符合招标文件要求的；</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9</w:t>
      </w:r>
      <w:r>
        <w:rPr>
          <w:rFonts w:hint="eastAsia" w:asciiTheme="minorEastAsia" w:hAnsiTheme="minorEastAsia" w:eastAsiaTheme="minorEastAsia" w:cstheme="minorEastAsia"/>
          <w:sz w:val="24"/>
          <w:szCs w:val="24"/>
        </w:rPr>
        <w:t>）投标书无投标供应商公章、无法定代表人签字或签字人无法定代表人有效委托书的；</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10</w:t>
      </w:r>
      <w:r>
        <w:rPr>
          <w:rFonts w:hint="eastAsia" w:asciiTheme="minorEastAsia" w:hAnsiTheme="minorEastAsia" w:eastAsiaTheme="minorEastAsia" w:cstheme="minorEastAsia"/>
          <w:sz w:val="24"/>
          <w:szCs w:val="24"/>
        </w:rPr>
        <w:t>）投标有效期不足的；</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11</w:t>
      </w:r>
      <w:r>
        <w:rPr>
          <w:rFonts w:hint="eastAsia" w:asciiTheme="minorEastAsia" w:hAnsiTheme="minorEastAsia" w:eastAsiaTheme="minorEastAsia" w:cstheme="minorEastAsia"/>
          <w:sz w:val="24"/>
          <w:szCs w:val="24"/>
        </w:rPr>
        <w:t>）投标供应商在同一份投标文件中， 报有两个或多个报价的；</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12</w:t>
      </w:r>
      <w:r>
        <w:rPr>
          <w:rFonts w:hint="eastAsia" w:asciiTheme="minorEastAsia" w:hAnsiTheme="minorEastAsia" w:eastAsiaTheme="minorEastAsia" w:cstheme="minorEastAsia"/>
          <w:sz w:val="24"/>
          <w:szCs w:val="24"/>
        </w:rPr>
        <w:t>）以他人名义进行的投标；</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13</w:t>
      </w:r>
      <w:r>
        <w:rPr>
          <w:rFonts w:hint="eastAsia" w:asciiTheme="minorEastAsia" w:hAnsiTheme="minorEastAsia" w:eastAsiaTheme="minorEastAsia" w:cstheme="minorEastAsia"/>
          <w:sz w:val="24"/>
          <w:szCs w:val="24"/>
        </w:rPr>
        <w:t>）附有采购人不能接受的条件的投标文件；</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14</w:t>
      </w:r>
      <w:r>
        <w:rPr>
          <w:rFonts w:hint="eastAsia" w:asciiTheme="minorEastAsia" w:hAnsiTheme="minorEastAsia" w:eastAsiaTheme="minorEastAsia" w:cstheme="minorEastAsia"/>
          <w:sz w:val="24"/>
          <w:szCs w:val="24"/>
        </w:rPr>
        <w:t>）两份以上内容雷同的投标文件；</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15</w:t>
      </w:r>
      <w:r>
        <w:rPr>
          <w:rFonts w:hint="eastAsia" w:asciiTheme="minorEastAsia" w:hAnsiTheme="minorEastAsia" w:eastAsiaTheme="minorEastAsia" w:cstheme="minorEastAsia"/>
          <w:sz w:val="24"/>
          <w:szCs w:val="24"/>
        </w:rPr>
        <w:t>）明显不符合技术规格、技术标准的投标文件；</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16</w:t>
      </w:r>
      <w:r>
        <w:rPr>
          <w:rFonts w:hint="eastAsia" w:asciiTheme="minorEastAsia" w:hAnsiTheme="minorEastAsia" w:eastAsiaTheme="minorEastAsia" w:cstheme="minorEastAsia"/>
          <w:sz w:val="24"/>
          <w:szCs w:val="24"/>
        </w:rPr>
        <w:t>）未能实质性响应招标文件要求的投标文件；</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17</w:t>
      </w:r>
      <w:r>
        <w:rPr>
          <w:rFonts w:hint="eastAsia" w:asciiTheme="minorEastAsia" w:hAnsiTheme="minorEastAsia" w:eastAsiaTheme="minorEastAsia" w:cstheme="minorEastAsia"/>
          <w:sz w:val="24"/>
          <w:szCs w:val="24"/>
        </w:rPr>
        <w:t>）投标报价高于上限控制价的投标；</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18</w:t>
      </w:r>
      <w:r>
        <w:rPr>
          <w:rFonts w:hint="eastAsia" w:asciiTheme="minorEastAsia" w:hAnsiTheme="minorEastAsia" w:eastAsiaTheme="minorEastAsia" w:cstheme="minorEastAsia"/>
          <w:sz w:val="24"/>
          <w:szCs w:val="24"/>
        </w:rPr>
        <w:t>）（交货时间或服务时间）超过招标文件要求的投标；</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19</w:t>
      </w:r>
      <w:r>
        <w:rPr>
          <w:rFonts w:hint="eastAsia" w:asciiTheme="minorEastAsia" w:hAnsiTheme="minorEastAsia" w:eastAsiaTheme="minorEastAsia" w:cstheme="minorEastAsia"/>
          <w:sz w:val="24"/>
          <w:szCs w:val="24"/>
        </w:rPr>
        <w:t>）经评标委员会认为投标人的报价明显低于其他通过符合性审查投标人的报价，且不能</w:t>
      </w:r>
      <w:r>
        <w:rPr>
          <w:rFonts w:hint="eastAsia" w:asciiTheme="minorEastAsia" w:hAnsiTheme="minorEastAsia" w:eastAsiaTheme="minorEastAsia" w:cstheme="minorEastAsia"/>
          <w:sz w:val="24"/>
          <w:szCs w:val="24"/>
          <w:lang w:val="en-US"/>
        </w:rPr>
        <w:t>合理说明的</w:t>
      </w:r>
      <w:r>
        <w:rPr>
          <w:rFonts w:hint="eastAsia" w:asciiTheme="minorEastAsia" w:hAnsiTheme="minorEastAsia" w:eastAsiaTheme="minorEastAsia" w:cstheme="minorEastAsia"/>
          <w:sz w:val="24"/>
          <w:szCs w:val="24"/>
        </w:rPr>
        <w:t>；</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20</w:t>
      </w:r>
      <w:r>
        <w:rPr>
          <w:rFonts w:hint="eastAsia" w:asciiTheme="minorEastAsia" w:hAnsiTheme="minorEastAsia" w:eastAsiaTheme="minorEastAsia" w:cstheme="minorEastAsia"/>
          <w:sz w:val="24"/>
          <w:szCs w:val="24"/>
        </w:rPr>
        <w:t>）经评标委员会半数以上评委认定投标供应商相互围标的投标；</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21</w:t>
      </w:r>
      <w:r>
        <w:rPr>
          <w:rFonts w:hint="eastAsia" w:asciiTheme="minorEastAsia" w:hAnsiTheme="minorEastAsia" w:eastAsiaTheme="minorEastAsia" w:cstheme="minorEastAsia"/>
          <w:sz w:val="24"/>
          <w:szCs w:val="24"/>
        </w:rPr>
        <w:t>）投标供应商有串通投标、弄虚作假、行贿等违法行为。</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23.8.2</w:t>
      </w:r>
      <w:r>
        <w:rPr>
          <w:rFonts w:hint="eastAsia" w:asciiTheme="minorEastAsia" w:hAnsiTheme="minorEastAsia" w:eastAsiaTheme="minorEastAsia" w:cstheme="minorEastAsia"/>
          <w:sz w:val="24"/>
          <w:szCs w:val="24"/>
        </w:rPr>
        <w:t>投标文件的详细评审</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23.8.2.1</w:t>
      </w:r>
      <w:r>
        <w:rPr>
          <w:rFonts w:hint="eastAsia" w:asciiTheme="minorEastAsia" w:hAnsiTheme="minorEastAsia" w:eastAsiaTheme="minorEastAsia" w:cstheme="minorEastAsia"/>
          <w:sz w:val="24"/>
          <w:szCs w:val="24"/>
        </w:rPr>
        <w:t>评标委员会将按照本须知第25条规定，只对确定为实质性响应招标文件要求的投标进行详细评审。</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23.8.2.2</w:t>
      </w:r>
      <w:r>
        <w:rPr>
          <w:rFonts w:hint="eastAsia" w:asciiTheme="minorEastAsia" w:hAnsiTheme="minorEastAsia" w:eastAsiaTheme="minorEastAsia" w:cstheme="minorEastAsia"/>
          <w:sz w:val="24"/>
          <w:szCs w:val="24"/>
        </w:rPr>
        <w:t>详细评审按照“投标供应商须知前附表”中规定的评标方法进行评审。</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rPr>
        <w:t>3.9</w:t>
      </w:r>
      <w:r>
        <w:rPr>
          <w:rFonts w:hint="eastAsia" w:asciiTheme="minorEastAsia" w:hAnsiTheme="minorEastAsia" w:eastAsiaTheme="minorEastAsia" w:cstheme="minorEastAsia"/>
          <w:sz w:val="24"/>
          <w:szCs w:val="24"/>
        </w:rPr>
        <w:t>中标候选人的确定。评标委员会按评标结果推荐</w:t>
      </w:r>
      <w:r>
        <w:rPr>
          <w:rFonts w:hint="eastAsia" w:asciiTheme="minorEastAsia" w:hAnsiTheme="minorEastAsia" w:eastAsiaTheme="minorEastAsia" w:cstheme="minorEastAsia"/>
          <w:sz w:val="24"/>
          <w:szCs w:val="24"/>
          <w:lang w:val="en-US"/>
        </w:rPr>
        <w:t>3</w:t>
      </w:r>
      <w:r>
        <w:rPr>
          <w:rFonts w:hint="eastAsia" w:asciiTheme="minorEastAsia" w:hAnsiTheme="minorEastAsia" w:eastAsiaTheme="minorEastAsia" w:cstheme="minorEastAsia"/>
          <w:sz w:val="24"/>
          <w:szCs w:val="24"/>
        </w:rPr>
        <w:t>名投标供应商为中标候选人，报价超出项目拦标价的投标供应商不得作为中标候选人。</w:t>
      </w:r>
    </w:p>
    <w:p>
      <w:pPr>
        <w:pStyle w:val="34"/>
        <w:tabs>
          <w:tab w:val="left" w:pos="677"/>
        </w:tabs>
        <w:spacing w:before="96" w:line="360" w:lineRule="auto"/>
        <w:ind w:right="618" w:firstLine="480" w:firstLineChars="20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六、定标、中标通知与签约</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24.</w:t>
      </w:r>
      <w:r>
        <w:rPr>
          <w:rFonts w:hint="eastAsia" w:asciiTheme="minorEastAsia" w:hAnsiTheme="minorEastAsia" w:eastAsiaTheme="minorEastAsia" w:cstheme="minorEastAsia"/>
          <w:sz w:val="24"/>
          <w:szCs w:val="24"/>
        </w:rPr>
        <w:t>定标程序</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24.1</w:t>
      </w:r>
      <w:r>
        <w:rPr>
          <w:rFonts w:hint="eastAsia" w:asciiTheme="minorEastAsia" w:hAnsiTheme="minorEastAsia" w:eastAsiaTheme="minorEastAsia" w:cstheme="minorEastAsia"/>
          <w:sz w:val="24"/>
          <w:szCs w:val="24"/>
        </w:rPr>
        <w:t>评委会根据评标方法的规定对投标供应商进行评审排序，推荐3名中标候选人，作为评标结果。评标结果由全体评标委员会成员签字确认。</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24.2</w:t>
      </w:r>
      <w:r>
        <w:rPr>
          <w:rFonts w:hint="eastAsia" w:asciiTheme="minorEastAsia" w:hAnsiTheme="minorEastAsia" w:eastAsiaTheme="minorEastAsia" w:cstheme="minorEastAsia"/>
          <w:sz w:val="24"/>
          <w:szCs w:val="24"/>
        </w:rPr>
        <w:t>采购人根据评标报告中推荐的中标候选人排列顺序，确定排名第一的为中标供应商。</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24.3</w:t>
      </w:r>
      <w:r>
        <w:rPr>
          <w:rFonts w:hint="eastAsia" w:asciiTheme="minorEastAsia" w:hAnsiTheme="minorEastAsia" w:eastAsiaTheme="minorEastAsia" w:cstheme="minorEastAsia"/>
          <w:sz w:val="24"/>
          <w:szCs w:val="24"/>
        </w:rPr>
        <w:t>招标结果于评标结果之后，在公示期内，投标供应商对评标结果有异议的，可以以书面形式提出质疑。提出质疑的投标供应商应保证提出的质疑内容及相应证明材料的真实性及来源的合法性，并承担相应的法律责任。</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24.4</w:t>
      </w:r>
      <w:r>
        <w:rPr>
          <w:rFonts w:hint="eastAsia" w:asciiTheme="minorEastAsia" w:hAnsiTheme="minorEastAsia" w:eastAsiaTheme="minorEastAsia" w:cstheme="minorEastAsia"/>
          <w:sz w:val="24"/>
          <w:szCs w:val="24"/>
        </w:rPr>
        <w:t>评委会可以对已推荐的中标候选人进行履约能力的进一步审核，以确认其是否具备完全履约能力。中标候选人不得拒绝提供进一步的证明其有能力履约的资料，并应该接受实地考察、产品测试等审核方式，如果发现中标候选人在履约能力方面有缺陷，或中标候选人不接受对其履约能力的进一步审核，评委会可以对原评标结果进行复议。</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24.5</w:t>
      </w:r>
      <w:r>
        <w:rPr>
          <w:rFonts w:hint="eastAsia" w:asciiTheme="minorEastAsia" w:hAnsiTheme="minorEastAsia" w:eastAsiaTheme="minorEastAsia" w:cstheme="minorEastAsia"/>
          <w:sz w:val="24"/>
          <w:szCs w:val="24"/>
        </w:rPr>
        <w:t>排名第一的中标候选人提出放弃中标的，采购人可以按照评标委员会提出的中标候选人名单排序依次确定其他中标候选人为中标供应商，也可以重新招标。</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25.</w:t>
      </w:r>
      <w:r>
        <w:rPr>
          <w:rFonts w:hint="eastAsia" w:asciiTheme="minorEastAsia" w:hAnsiTheme="minorEastAsia" w:eastAsiaTheme="minorEastAsia" w:cstheme="minorEastAsia"/>
          <w:sz w:val="24"/>
          <w:szCs w:val="24"/>
        </w:rPr>
        <w:t>中标与落标通知</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25.1</w:t>
      </w:r>
      <w:r>
        <w:rPr>
          <w:rFonts w:hint="eastAsia" w:asciiTheme="minorEastAsia" w:hAnsiTheme="minorEastAsia" w:eastAsiaTheme="minorEastAsia" w:cstheme="minorEastAsia"/>
          <w:sz w:val="24"/>
          <w:szCs w:val="24"/>
        </w:rPr>
        <w:t>根据评标委员会对推荐的 3 名中标候选人排序，经采购人确定中标供应商之后，由采购人向中标供应商发出《中标通知书》。</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25.2</w:t>
      </w:r>
      <w:r>
        <w:rPr>
          <w:rFonts w:hint="eastAsia" w:asciiTheme="minorEastAsia" w:hAnsiTheme="minorEastAsia" w:eastAsiaTheme="minorEastAsia" w:cstheme="minorEastAsia"/>
          <w:sz w:val="24"/>
          <w:szCs w:val="24"/>
        </w:rPr>
        <w:t>中标通知书对采购人和中标供应商具有同等法律效力。中标通知书发出之后，采购人改变中标结果，或者中标供应商放弃中标，均应当承担相应的法律责任。</w:t>
      </w:r>
    </w:p>
    <w:p>
      <w:pPr>
        <w:pStyle w:val="34"/>
        <w:tabs>
          <w:tab w:val="left" w:pos="677"/>
        </w:tabs>
        <w:spacing w:before="96" w:line="360" w:lineRule="auto"/>
        <w:ind w:right="618"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25.3中</w:t>
      </w:r>
      <w:r>
        <w:rPr>
          <w:rFonts w:hint="eastAsia" w:asciiTheme="minorEastAsia" w:hAnsiTheme="minorEastAsia" w:eastAsiaTheme="minorEastAsia" w:cstheme="minorEastAsia"/>
          <w:sz w:val="24"/>
          <w:szCs w:val="24"/>
        </w:rPr>
        <w:t>标合同的签订采购人应当自中标通知书发出之日起三十日内，按照招标文件和中标供应商投标文件（包括评标中形成的澄清文件）的约定，与中标供应商签订书面合同。所签订的合同不得对招标文件和中标供应商  的投标文件（包括评标中形成的澄清文件）作实质性修改。</w:t>
      </w:r>
    </w:p>
    <w:p>
      <w:pPr>
        <w:spacing w:line="364" w:lineRule="auto"/>
        <w:jc w:val="both"/>
        <w:sectPr>
          <w:footerReference r:id="rId5" w:type="default"/>
          <w:pgSz w:w="11911" w:h="16840"/>
          <w:pgMar w:top="1417" w:right="1020" w:bottom="1417" w:left="1020" w:header="0" w:footer="828" w:gutter="0"/>
          <w:pgNumType w:start="1"/>
          <w:cols w:space="0" w:num="1"/>
        </w:sectPr>
      </w:pPr>
    </w:p>
    <w:p>
      <w:pPr>
        <w:pStyle w:val="4"/>
        <w:ind w:left="15" w:hanging="15" w:hangingChars="5"/>
        <w:jc w:val="center"/>
        <w:rPr>
          <w:b/>
          <w:bCs/>
        </w:rPr>
      </w:pPr>
      <w:bookmarkStart w:id="83" w:name="第四章合同主要条款"/>
      <w:bookmarkEnd w:id="83"/>
      <w:bookmarkStart w:id="84" w:name="_Toc30077"/>
      <w:r>
        <w:rPr>
          <w:b/>
          <w:bCs/>
        </w:rPr>
        <w:t>第四章</w:t>
      </w:r>
      <w:r>
        <w:rPr>
          <w:rFonts w:hint="eastAsia"/>
          <w:b/>
          <w:bCs/>
          <w:lang w:val="en-US"/>
        </w:rPr>
        <w:t xml:space="preserve">  </w:t>
      </w:r>
      <w:r>
        <w:rPr>
          <w:b/>
          <w:bCs/>
        </w:rPr>
        <w:t>合同主要条款</w:t>
      </w:r>
      <w:bookmarkEnd w:id="84"/>
    </w:p>
    <w:p>
      <w:pPr>
        <w:tabs>
          <w:tab w:val="left" w:pos="7665"/>
        </w:tabs>
        <w:spacing w:line="400" w:lineRule="exact"/>
        <w:jc w:val="center"/>
        <w:rPr>
          <w:b/>
          <w:bCs/>
          <w:sz w:val="28"/>
          <w:szCs w:val="28"/>
        </w:rPr>
      </w:pPr>
      <w:r>
        <w:rPr>
          <w:rFonts w:hint="eastAsia"/>
          <w:b/>
          <w:bCs/>
          <w:sz w:val="28"/>
          <w:szCs w:val="28"/>
        </w:rPr>
        <w:t>（具体内容以采购人提供为准）</w:t>
      </w:r>
    </w:p>
    <w:p>
      <w:pPr>
        <w:tabs>
          <w:tab w:val="left" w:pos="720"/>
        </w:tabs>
        <w:spacing w:line="360" w:lineRule="auto"/>
        <w:jc w:val="center"/>
        <w:rPr>
          <w:bCs/>
          <w:sz w:val="72"/>
          <w:szCs w:val="72"/>
        </w:rPr>
      </w:pPr>
      <w:bookmarkStart w:id="85" w:name="_Toc521403813"/>
      <w:bookmarkStart w:id="86" w:name="_Toc521403724"/>
      <w:r>
        <w:rPr>
          <w:rFonts w:hint="eastAsia"/>
          <w:szCs w:val="21"/>
        </w:rPr>
        <w:t xml:space="preserve">   </w:t>
      </w:r>
      <w:bookmarkEnd w:id="85"/>
      <w:bookmarkEnd w:id="86"/>
      <w:r>
        <w:rPr>
          <w:rFonts w:hint="eastAsia"/>
          <w:bCs/>
          <w:sz w:val="72"/>
          <w:szCs w:val="72"/>
          <w:u w:val="single"/>
        </w:rPr>
        <w:t xml:space="preserve">             </w:t>
      </w:r>
      <w:r>
        <w:rPr>
          <w:rFonts w:hint="eastAsia"/>
          <w:bCs/>
          <w:sz w:val="72"/>
          <w:szCs w:val="72"/>
        </w:rPr>
        <w:t>政府采购</w:t>
      </w:r>
    </w:p>
    <w:p>
      <w:pPr>
        <w:tabs>
          <w:tab w:val="left" w:pos="720"/>
        </w:tabs>
        <w:spacing w:line="360" w:lineRule="auto"/>
        <w:jc w:val="center"/>
        <w:rPr>
          <w:bCs/>
          <w:sz w:val="72"/>
          <w:szCs w:val="72"/>
        </w:rPr>
      </w:pPr>
      <w:r>
        <w:rPr>
          <w:rFonts w:hint="eastAsia"/>
          <w:bCs/>
          <w:sz w:val="72"/>
          <w:szCs w:val="72"/>
        </w:rPr>
        <w:t>合 同 书</w:t>
      </w:r>
    </w:p>
    <w:p>
      <w:pPr>
        <w:tabs>
          <w:tab w:val="left" w:pos="720"/>
        </w:tabs>
        <w:spacing w:line="360" w:lineRule="auto"/>
        <w:jc w:val="center"/>
        <w:rPr>
          <w:bCs/>
          <w:sz w:val="72"/>
          <w:szCs w:val="72"/>
        </w:rPr>
      </w:pPr>
    </w:p>
    <w:p>
      <w:pPr>
        <w:tabs>
          <w:tab w:val="left" w:pos="720"/>
        </w:tabs>
        <w:spacing w:line="360" w:lineRule="auto"/>
        <w:jc w:val="center"/>
        <w:rPr>
          <w:bCs/>
          <w:sz w:val="72"/>
          <w:szCs w:val="72"/>
        </w:rPr>
      </w:pPr>
    </w:p>
    <w:p>
      <w:pPr>
        <w:tabs>
          <w:tab w:val="left" w:pos="720"/>
        </w:tabs>
        <w:spacing w:line="360" w:lineRule="auto"/>
        <w:jc w:val="center"/>
        <w:rPr>
          <w:bCs/>
          <w:sz w:val="44"/>
          <w:szCs w:val="44"/>
        </w:rPr>
      </w:pPr>
      <w:r>
        <w:rPr>
          <w:rFonts w:hint="eastAsia"/>
          <w:bCs/>
          <w:sz w:val="44"/>
          <w:szCs w:val="44"/>
        </w:rPr>
        <w:t>（仅供参考）</w:t>
      </w:r>
    </w:p>
    <w:p>
      <w:pPr>
        <w:tabs>
          <w:tab w:val="left" w:pos="720"/>
        </w:tabs>
        <w:spacing w:line="360" w:lineRule="auto"/>
        <w:jc w:val="center"/>
        <w:rPr>
          <w:bCs/>
          <w:sz w:val="44"/>
          <w:szCs w:val="44"/>
        </w:rPr>
      </w:pPr>
    </w:p>
    <w:p>
      <w:pPr>
        <w:tabs>
          <w:tab w:val="left" w:pos="720"/>
        </w:tabs>
        <w:spacing w:line="360" w:lineRule="auto"/>
        <w:jc w:val="center"/>
        <w:rPr>
          <w:bCs/>
          <w:sz w:val="44"/>
          <w:szCs w:val="44"/>
        </w:rPr>
      </w:pPr>
    </w:p>
    <w:p>
      <w:pPr>
        <w:tabs>
          <w:tab w:val="left" w:pos="720"/>
        </w:tabs>
        <w:spacing w:line="360" w:lineRule="auto"/>
        <w:jc w:val="center"/>
        <w:rPr>
          <w:bCs/>
          <w:sz w:val="24"/>
          <w:szCs w:val="24"/>
        </w:rPr>
      </w:pPr>
    </w:p>
    <w:p>
      <w:pPr>
        <w:tabs>
          <w:tab w:val="left" w:pos="720"/>
        </w:tabs>
        <w:spacing w:line="360" w:lineRule="auto"/>
        <w:rPr>
          <w:bCs/>
          <w:sz w:val="24"/>
          <w:szCs w:val="24"/>
        </w:rPr>
      </w:pPr>
    </w:p>
    <w:tbl>
      <w:tblPr>
        <w:tblStyle w:val="24"/>
        <w:tblW w:w="5400" w:type="dxa"/>
        <w:jc w:val="center"/>
        <w:tblLayout w:type="fixed"/>
        <w:tblCellMar>
          <w:top w:w="0" w:type="dxa"/>
          <w:left w:w="108" w:type="dxa"/>
          <w:bottom w:w="0" w:type="dxa"/>
          <w:right w:w="108" w:type="dxa"/>
        </w:tblCellMar>
      </w:tblPr>
      <w:tblGrid>
        <w:gridCol w:w="5400"/>
      </w:tblGrid>
      <w:tr>
        <w:trPr>
          <w:trHeight w:val="446" w:hRule="atLeast"/>
          <w:jc w:val="center"/>
        </w:trPr>
        <w:tc>
          <w:tcPr>
            <w:tcW w:w="5400" w:type="dxa"/>
          </w:tcPr>
          <w:p>
            <w:pPr>
              <w:tabs>
                <w:tab w:val="left" w:pos="720"/>
              </w:tabs>
              <w:spacing w:line="360" w:lineRule="auto"/>
              <w:rPr>
                <w:bCs/>
                <w:sz w:val="24"/>
                <w:szCs w:val="24"/>
                <w:u w:val="single"/>
              </w:rPr>
            </w:pPr>
            <w:r>
              <w:rPr>
                <w:rFonts w:hint="eastAsia"/>
                <w:bCs/>
                <w:sz w:val="24"/>
                <w:szCs w:val="24"/>
              </w:rPr>
              <w:t>采购编号：</w:t>
            </w:r>
            <w:r>
              <w:rPr>
                <w:rFonts w:hint="eastAsia"/>
                <w:bCs/>
                <w:sz w:val="24"/>
                <w:szCs w:val="24"/>
                <w:u w:val="single"/>
              </w:rPr>
              <w:t xml:space="preserve">                          </w:t>
            </w:r>
            <w:r>
              <w:rPr>
                <w:rFonts w:hint="eastAsia"/>
                <w:bCs/>
                <w:sz w:val="24"/>
                <w:szCs w:val="24"/>
              </w:rPr>
              <w:t xml:space="preserve">           </w:t>
            </w:r>
          </w:p>
        </w:tc>
      </w:tr>
      <w:tr>
        <w:trPr>
          <w:trHeight w:val="446" w:hRule="atLeast"/>
          <w:jc w:val="center"/>
        </w:trPr>
        <w:tc>
          <w:tcPr>
            <w:tcW w:w="5400" w:type="dxa"/>
          </w:tcPr>
          <w:p>
            <w:pPr>
              <w:tabs>
                <w:tab w:val="left" w:pos="720"/>
              </w:tabs>
              <w:spacing w:line="360" w:lineRule="auto"/>
              <w:rPr>
                <w:bCs/>
                <w:sz w:val="24"/>
                <w:szCs w:val="24"/>
                <w:u w:val="single"/>
              </w:rPr>
            </w:pP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bCs/>
                <w:sz w:val="24"/>
                <w:szCs w:val="24"/>
              </w:rPr>
            </w:pPr>
            <w:r>
              <w:rPr>
                <w:rFonts w:hint="eastAsia"/>
                <w:bCs/>
                <w:sz w:val="24"/>
                <w:szCs w:val="24"/>
              </w:rPr>
              <w:t>项目名称：</w:t>
            </w:r>
            <w:r>
              <w:rPr>
                <w:rFonts w:hint="eastAsia"/>
                <w:bCs/>
                <w:sz w:val="24"/>
                <w:szCs w:val="24"/>
                <w:u w:val="single"/>
              </w:rPr>
              <w:t xml:space="preserve">                           </w:t>
            </w:r>
          </w:p>
        </w:tc>
      </w:tr>
    </w:tbl>
    <w:p>
      <w:pPr>
        <w:spacing w:line="360" w:lineRule="auto"/>
        <w:rPr>
          <w:bCs/>
          <w:sz w:val="24"/>
          <w:szCs w:val="24"/>
        </w:rPr>
      </w:pPr>
    </w:p>
    <w:p>
      <w:pPr>
        <w:rPr>
          <w:bCs/>
          <w:sz w:val="24"/>
          <w:szCs w:val="24"/>
        </w:rPr>
      </w:pPr>
      <w:r>
        <w:rPr>
          <w:rFonts w:hint="eastAsia"/>
          <w:bCs/>
          <w:sz w:val="24"/>
          <w:szCs w:val="24"/>
        </w:rPr>
        <w:t>注：本合同仅为合同的参考文本，合同签订双方可根据项目的具体要求进行修订。</w:t>
      </w:r>
    </w:p>
    <w:p>
      <w:pPr>
        <w:rPr>
          <w:bCs/>
          <w:sz w:val="24"/>
          <w:szCs w:val="24"/>
        </w:rPr>
      </w:pPr>
      <w:r>
        <w:rPr>
          <w:rFonts w:hint="eastAsia"/>
          <w:bCs/>
          <w:sz w:val="24"/>
          <w:szCs w:val="24"/>
        </w:rPr>
        <w:br w:type="page"/>
      </w:r>
    </w:p>
    <w:p>
      <w:pPr>
        <w:tabs>
          <w:tab w:val="left" w:pos="720"/>
        </w:tabs>
        <w:spacing w:line="360" w:lineRule="auto"/>
        <w:rPr>
          <w:bCs/>
          <w:sz w:val="24"/>
          <w:szCs w:val="24"/>
        </w:rPr>
      </w:pPr>
    </w:p>
    <w:p>
      <w:pPr>
        <w:tabs>
          <w:tab w:val="left" w:pos="720"/>
        </w:tabs>
        <w:spacing w:line="360" w:lineRule="auto"/>
        <w:rPr>
          <w:bCs/>
          <w:sz w:val="24"/>
          <w:szCs w:val="24"/>
        </w:rPr>
      </w:pPr>
    </w:p>
    <w:p>
      <w:pPr>
        <w:tabs>
          <w:tab w:val="left" w:pos="720"/>
        </w:tabs>
        <w:spacing w:line="360" w:lineRule="auto"/>
        <w:rPr>
          <w:bCs/>
          <w:sz w:val="24"/>
          <w:szCs w:val="24"/>
        </w:rPr>
      </w:pPr>
      <w:r>
        <w:rPr>
          <w:rFonts w:hint="eastAsia"/>
          <w:bCs/>
          <w:sz w:val="24"/>
          <w:szCs w:val="24"/>
        </w:rPr>
        <w:t>甲    方：</w:t>
      </w:r>
      <w:r>
        <w:rPr>
          <w:rFonts w:hint="eastAsia"/>
          <w:bCs/>
          <w:sz w:val="24"/>
          <w:szCs w:val="24"/>
          <w:u w:val="single"/>
        </w:rPr>
        <w:t xml:space="preserve">                 </w:t>
      </w:r>
    </w:p>
    <w:p>
      <w:pPr>
        <w:spacing w:line="360" w:lineRule="auto"/>
        <w:rPr>
          <w:bCs/>
          <w:sz w:val="24"/>
          <w:szCs w:val="24"/>
        </w:rPr>
      </w:pPr>
      <w:r>
        <w:rPr>
          <w:rFonts w:hint="eastAsia"/>
          <w:bCs/>
          <w:sz w:val="24"/>
          <w:szCs w:val="24"/>
        </w:rPr>
        <w:t>电    话：           　   传  真：           地  址：</w:t>
      </w:r>
    </w:p>
    <w:p>
      <w:pPr>
        <w:spacing w:line="360" w:lineRule="auto"/>
        <w:rPr>
          <w:bCs/>
          <w:sz w:val="24"/>
          <w:szCs w:val="24"/>
          <w:u w:val="single"/>
        </w:rPr>
      </w:pPr>
      <w:r>
        <w:rPr>
          <w:rFonts w:hint="eastAsia"/>
          <w:bCs/>
          <w:sz w:val="24"/>
          <w:szCs w:val="24"/>
        </w:rPr>
        <w:t>乙    方：</w:t>
      </w:r>
      <w:r>
        <w:rPr>
          <w:rFonts w:hint="eastAsia"/>
          <w:bCs/>
          <w:sz w:val="24"/>
          <w:szCs w:val="24"/>
          <w:u w:val="single"/>
        </w:rPr>
        <w:t xml:space="preserve">                  </w:t>
      </w:r>
    </w:p>
    <w:p>
      <w:pPr>
        <w:spacing w:line="360" w:lineRule="auto"/>
        <w:rPr>
          <w:bCs/>
          <w:sz w:val="24"/>
          <w:szCs w:val="24"/>
        </w:rPr>
      </w:pPr>
      <w:r>
        <w:rPr>
          <w:rFonts w:hint="eastAsia"/>
          <w:bCs/>
          <w:sz w:val="24"/>
          <w:szCs w:val="24"/>
        </w:rPr>
        <w:t xml:space="preserve">电    话：                传  真：           地  址：   </w:t>
      </w:r>
    </w:p>
    <w:p>
      <w:pPr>
        <w:wordWrap w:val="0"/>
        <w:spacing w:line="360" w:lineRule="auto"/>
        <w:rPr>
          <w:bCs/>
          <w:sz w:val="24"/>
          <w:szCs w:val="24"/>
        </w:rPr>
      </w:pPr>
      <w:r>
        <w:rPr>
          <w:rFonts w:hint="eastAsia"/>
          <w:bCs/>
          <w:sz w:val="24"/>
          <w:szCs w:val="24"/>
        </w:rPr>
        <w:t>项目名称：</w:t>
      </w:r>
      <w:r>
        <w:rPr>
          <w:rFonts w:hint="eastAsia"/>
          <w:bCs/>
          <w:sz w:val="24"/>
          <w:szCs w:val="24"/>
          <w:u w:val="single"/>
        </w:rPr>
        <w:t xml:space="preserve">                                   </w:t>
      </w:r>
      <w:r>
        <w:rPr>
          <w:rFonts w:hint="eastAsia"/>
          <w:bCs/>
          <w:sz w:val="24"/>
          <w:szCs w:val="24"/>
        </w:rPr>
        <w:t>采购编号：</w:t>
      </w:r>
      <w:r>
        <w:rPr>
          <w:rFonts w:hint="eastAsia"/>
          <w:bCs/>
          <w:sz w:val="24"/>
          <w:szCs w:val="24"/>
          <w:u w:val="single"/>
        </w:rPr>
        <w:t xml:space="preserve">            </w:t>
      </w:r>
    </w:p>
    <w:p>
      <w:pPr>
        <w:spacing w:line="360" w:lineRule="auto"/>
        <w:ind w:firstLine="480" w:firstLineChars="200"/>
        <w:rPr>
          <w:bCs/>
          <w:sz w:val="24"/>
          <w:szCs w:val="24"/>
        </w:rPr>
      </w:pPr>
      <w:r>
        <w:rPr>
          <w:rFonts w:hint="eastAsia"/>
          <w:bCs/>
          <w:sz w:val="24"/>
          <w:szCs w:val="24"/>
        </w:rPr>
        <w:t xml:space="preserve">根据 </w:t>
      </w:r>
      <w:r>
        <w:rPr>
          <w:rFonts w:hint="eastAsia"/>
          <w:bCs/>
          <w:sz w:val="24"/>
          <w:szCs w:val="24"/>
          <w:u w:val="single"/>
        </w:rPr>
        <w:t xml:space="preserve">              项目</w:t>
      </w:r>
      <w:r>
        <w:rPr>
          <w:rFonts w:hint="eastAsia"/>
          <w:bCs/>
          <w:sz w:val="24"/>
          <w:szCs w:val="24"/>
        </w:rPr>
        <w:t>的采购结果，按照《中华人民共和国政府采购法》、《合同法》的规定，</w:t>
      </w:r>
      <w:r>
        <w:rPr>
          <w:rFonts w:hint="eastAsia"/>
          <w:bCs/>
          <w:kern w:val="28"/>
          <w:sz w:val="24"/>
          <w:szCs w:val="24"/>
        </w:rPr>
        <w:t>经双方协商，</w:t>
      </w:r>
      <w:r>
        <w:rPr>
          <w:rFonts w:hint="eastAsia"/>
          <w:bCs/>
          <w:sz w:val="24"/>
          <w:szCs w:val="24"/>
        </w:rPr>
        <w:t>本着平等互利和诚实信用的原则，</w:t>
      </w:r>
      <w:r>
        <w:rPr>
          <w:rFonts w:hint="eastAsia"/>
          <w:bCs/>
          <w:kern w:val="28"/>
          <w:sz w:val="24"/>
          <w:szCs w:val="24"/>
        </w:rPr>
        <w:t>一致同意签订本合同如下</w:t>
      </w:r>
      <w:r>
        <w:rPr>
          <w:rFonts w:hint="eastAsia"/>
          <w:bCs/>
          <w:sz w:val="24"/>
          <w:szCs w:val="24"/>
        </w:rPr>
        <w:t>。</w:t>
      </w:r>
    </w:p>
    <w:p>
      <w:pPr>
        <w:numPr>
          <w:ilvl w:val="0"/>
          <w:numId w:val="3"/>
        </w:numPr>
        <w:tabs>
          <w:tab w:val="left" w:pos="630"/>
        </w:tabs>
        <w:spacing w:line="360" w:lineRule="auto"/>
        <w:ind w:left="0" w:firstLine="0"/>
        <w:rPr>
          <w:bCs/>
          <w:sz w:val="24"/>
          <w:szCs w:val="24"/>
        </w:rPr>
      </w:pPr>
      <w:r>
        <w:rPr>
          <w:rFonts w:hint="eastAsia"/>
          <w:bCs/>
          <w:sz w:val="24"/>
          <w:szCs w:val="24"/>
        </w:rPr>
        <w:t>合同金额合同金额为（大写）：_________________元（￥_______________元）人民币(含所有费用）。</w:t>
      </w:r>
    </w:p>
    <w:p>
      <w:pPr>
        <w:numPr>
          <w:ilvl w:val="0"/>
          <w:numId w:val="3"/>
        </w:numPr>
        <w:tabs>
          <w:tab w:val="left" w:pos="630"/>
        </w:tabs>
        <w:spacing w:line="360" w:lineRule="auto"/>
        <w:ind w:left="0" w:firstLine="0"/>
        <w:rPr>
          <w:bCs/>
          <w:sz w:val="24"/>
          <w:szCs w:val="24"/>
        </w:rPr>
      </w:pPr>
      <w:r>
        <w:rPr>
          <w:rFonts w:hint="eastAsia"/>
          <w:bCs/>
          <w:sz w:val="24"/>
          <w:szCs w:val="24"/>
        </w:rPr>
        <w:t>服务范围</w:t>
      </w:r>
    </w:p>
    <w:p>
      <w:pPr>
        <w:spacing w:line="360" w:lineRule="auto"/>
        <w:rPr>
          <w:bCs/>
          <w:sz w:val="24"/>
          <w:szCs w:val="24"/>
        </w:rPr>
      </w:pPr>
      <w:r>
        <w:rPr>
          <w:rFonts w:hint="eastAsia"/>
          <w:bCs/>
          <w:sz w:val="24"/>
          <w:szCs w:val="24"/>
        </w:rPr>
        <w:t>　　甲方聘请乙方提供以下货物（或服务）：</w:t>
      </w:r>
    </w:p>
    <w:p>
      <w:pPr>
        <w:spacing w:line="360" w:lineRule="auto"/>
        <w:rPr>
          <w:bCs/>
          <w:sz w:val="24"/>
          <w:szCs w:val="24"/>
          <w:u w:val="single"/>
        </w:rPr>
      </w:pPr>
      <w:r>
        <w:rPr>
          <w:rFonts w:hint="eastAsia"/>
          <w:bCs/>
          <w:sz w:val="24"/>
          <w:szCs w:val="24"/>
        </w:rPr>
        <w:t>　　1．本合同项下的货物（或服务）指</w:t>
      </w:r>
      <w:r>
        <w:rPr>
          <w:rFonts w:hint="eastAsia"/>
          <w:bCs/>
          <w:sz w:val="24"/>
          <w:szCs w:val="24"/>
          <w:u w:val="single"/>
        </w:rPr>
        <w:t xml:space="preserve">                            </w:t>
      </w:r>
      <w:r>
        <w:rPr>
          <w:rFonts w:hint="eastAsia"/>
          <w:bCs/>
          <w:sz w:val="24"/>
          <w:szCs w:val="24"/>
        </w:rPr>
        <w:t>。</w:t>
      </w:r>
    </w:p>
    <w:p>
      <w:pPr>
        <w:spacing w:line="360" w:lineRule="auto"/>
        <w:rPr>
          <w:bCs/>
          <w:sz w:val="24"/>
          <w:szCs w:val="24"/>
        </w:rPr>
      </w:pPr>
      <w:r>
        <w:rPr>
          <w:rFonts w:hint="eastAsia"/>
          <w:bCs/>
          <w:sz w:val="24"/>
          <w:szCs w:val="24"/>
        </w:rPr>
        <w:t>　　2．......</w:t>
      </w:r>
    </w:p>
    <w:p>
      <w:pPr>
        <w:numPr>
          <w:ilvl w:val="0"/>
          <w:numId w:val="3"/>
        </w:numPr>
        <w:tabs>
          <w:tab w:val="left" w:pos="630"/>
        </w:tabs>
        <w:spacing w:line="360" w:lineRule="auto"/>
        <w:ind w:left="0" w:firstLine="0"/>
        <w:rPr>
          <w:bCs/>
          <w:sz w:val="24"/>
          <w:szCs w:val="24"/>
        </w:rPr>
      </w:pPr>
      <w:r>
        <w:rPr>
          <w:rFonts w:hint="eastAsia"/>
          <w:bCs/>
          <w:sz w:val="24"/>
          <w:szCs w:val="24"/>
        </w:rPr>
        <w:t>甲方乙方的权利和义务</w:t>
      </w:r>
    </w:p>
    <w:p>
      <w:pPr>
        <w:spacing w:line="360" w:lineRule="auto"/>
        <w:rPr>
          <w:bCs/>
          <w:sz w:val="24"/>
          <w:szCs w:val="24"/>
        </w:rPr>
      </w:pPr>
      <w:r>
        <w:rPr>
          <w:rFonts w:hint="eastAsia"/>
          <w:bCs/>
          <w:sz w:val="24"/>
          <w:szCs w:val="24"/>
        </w:rPr>
        <w:t>　　（一） 甲方的权利和义务</w:t>
      </w:r>
    </w:p>
    <w:p>
      <w:pPr>
        <w:spacing w:line="360" w:lineRule="auto"/>
        <w:ind w:firstLine="480" w:firstLineChars="200"/>
        <w:rPr>
          <w:bCs/>
          <w:sz w:val="24"/>
          <w:szCs w:val="24"/>
        </w:rPr>
      </w:pPr>
      <w:r>
        <w:rPr>
          <w:rFonts w:hint="eastAsia"/>
          <w:bCs/>
          <w:sz w:val="24"/>
          <w:szCs w:val="24"/>
        </w:rPr>
        <w:t>（二） 乙方的权利和义务</w:t>
      </w:r>
    </w:p>
    <w:p>
      <w:pPr>
        <w:numPr>
          <w:ilvl w:val="0"/>
          <w:numId w:val="3"/>
        </w:numPr>
        <w:tabs>
          <w:tab w:val="left" w:pos="630"/>
        </w:tabs>
        <w:spacing w:line="360" w:lineRule="auto"/>
        <w:ind w:left="0" w:firstLine="0"/>
        <w:rPr>
          <w:bCs/>
          <w:sz w:val="24"/>
          <w:szCs w:val="24"/>
        </w:rPr>
      </w:pPr>
      <w:r>
        <w:rPr>
          <w:rFonts w:hint="eastAsia"/>
          <w:bCs/>
          <w:sz w:val="24"/>
          <w:szCs w:val="24"/>
        </w:rPr>
        <w:t>履约期间（项目完成期限）</w:t>
      </w:r>
    </w:p>
    <w:p>
      <w:pPr>
        <w:spacing w:line="360" w:lineRule="auto"/>
        <w:ind w:firstLine="435"/>
        <w:rPr>
          <w:bCs/>
          <w:sz w:val="24"/>
          <w:szCs w:val="24"/>
        </w:rPr>
      </w:pPr>
      <w:r>
        <w:rPr>
          <w:rFonts w:hint="eastAsia"/>
          <w:bCs/>
          <w:sz w:val="24"/>
          <w:szCs w:val="24"/>
        </w:rPr>
        <w:t>委托履约期自______年______月至______年______月止。</w:t>
      </w:r>
    </w:p>
    <w:p>
      <w:pPr>
        <w:spacing w:line="360" w:lineRule="auto"/>
        <w:rPr>
          <w:bCs/>
          <w:sz w:val="24"/>
          <w:szCs w:val="24"/>
        </w:rPr>
      </w:pPr>
      <w:r>
        <w:rPr>
          <w:rFonts w:hint="eastAsia"/>
          <w:bCs/>
          <w:sz w:val="24"/>
          <w:szCs w:val="24"/>
        </w:rPr>
        <w:t>五、付款方式</w:t>
      </w:r>
    </w:p>
    <w:p>
      <w:pPr>
        <w:spacing w:line="360" w:lineRule="auto"/>
        <w:rPr>
          <w:bCs/>
          <w:sz w:val="24"/>
          <w:szCs w:val="24"/>
        </w:rPr>
      </w:pPr>
      <w:r>
        <w:rPr>
          <w:rFonts w:hint="eastAsia"/>
          <w:bCs/>
          <w:sz w:val="24"/>
          <w:szCs w:val="24"/>
          <w:u w:val="single"/>
        </w:rPr>
        <w:t xml:space="preserve">  （按</w:t>
      </w:r>
      <w:r>
        <w:rPr>
          <w:rFonts w:hint="eastAsia"/>
          <w:bCs/>
          <w:sz w:val="24"/>
          <w:szCs w:val="24"/>
          <w:u w:val="single"/>
          <w:lang w:eastAsia="zh-CN"/>
        </w:rPr>
        <w:t>招标</w:t>
      </w:r>
      <w:r>
        <w:rPr>
          <w:rFonts w:hint="eastAsia"/>
          <w:bCs/>
          <w:sz w:val="24"/>
          <w:szCs w:val="24"/>
          <w:u w:val="single"/>
        </w:rPr>
        <w:t>文件项目需求内容）</w:t>
      </w:r>
    </w:p>
    <w:p>
      <w:pPr>
        <w:tabs>
          <w:tab w:val="left" w:pos="900"/>
        </w:tabs>
        <w:spacing w:line="360" w:lineRule="auto"/>
        <w:rPr>
          <w:bCs/>
          <w:sz w:val="24"/>
          <w:szCs w:val="24"/>
        </w:rPr>
      </w:pPr>
      <w:r>
        <w:rPr>
          <w:rFonts w:hint="eastAsia"/>
          <w:bCs/>
          <w:sz w:val="24"/>
          <w:szCs w:val="24"/>
        </w:rPr>
        <w:t>六、知识产权产权归属</w:t>
      </w:r>
    </w:p>
    <w:p>
      <w:pPr>
        <w:tabs>
          <w:tab w:val="left" w:pos="900"/>
        </w:tabs>
        <w:spacing w:line="360" w:lineRule="auto"/>
        <w:rPr>
          <w:bCs/>
          <w:sz w:val="24"/>
          <w:szCs w:val="24"/>
        </w:rPr>
      </w:pPr>
      <w:r>
        <w:rPr>
          <w:rFonts w:hint="eastAsia"/>
          <w:bCs/>
          <w:sz w:val="24"/>
          <w:szCs w:val="24"/>
        </w:rPr>
        <w:t>七、保密</w:t>
      </w:r>
    </w:p>
    <w:p>
      <w:pPr>
        <w:tabs>
          <w:tab w:val="left" w:pos="900"/>
        </w:tabs>
        <w:spacing w:line="360" w:lineRule="auto"/>
        <w:rPr>
          <w:bCs/>
          <w:sz w:val="24"/>
          <w:szCs w:val="24"/>
        </w:rPr>
      </w:pPr>
      <w:r>
        <w:rPr>
          <w:rFonts w:hint="eastAsia"/>
          <w:bCs/>
          <w:sz w:val="24"/>
          <w:szCs w:val="24"/>
        </w:rPr>
        <w:t>八、违约责任与赔偿损失</w:t>
      </w:r>
    </w:p>
    <w:p>
      <w:pPr>
        <w:tabs>
          <w:tab w:val="left" w:pos="900"/>
        </w:tabs>
        <w:spacing w:line="360" w:lineRule="auto"/>
        <w:rPr>
          <w:bCs/>
          <w:sz w:val="24"/>
          <w:szCs w:val="24"/>
        </w:rPr>
      </w:pPr>
      <w:r>
        <w:rPr>
          <w:rFonts w:hint="eastAsia"/>
          <w:bCs/>
          <w:sz w:val="24"/>
          <w:szCs w:val="24"/>
        </w:rPr>
        <w:t>1) 乙方提供货物（或服务）的不符合采购文件、报价文件或本合同规定的，甲方有权拒收，并且乙方须向甲方方支付本合同总价3%的违约金。</w:t>
      </w:r>
    </w:p>
    <w:p>
      <w:pPr>
        <w:tabs>
          <w:tab w:val="left" w:pos="720"/>
          <w:tab w:val="left" w:pos="900"/>
        </w:tabs>
        <w:spacing w:line="360" w:lineRule="auto"/>
        <w:ind w:right="210"/>
        <w:rPr>
          <w:bCs/>
          <w:sz w:val="24"/>
          <w:szCs w:val="24"/>
        </w:rPr>
      </w:pPr>
      <w:r>
        <w:rPr>
          <w:rFonts w:hint="eastAsia"/>
          <w:bCs/>
          <w:sz w:val="24"/>
          <w:szCs w:val="24"/>
        </w:rPr>
        <w:t>2) 乙方未能按本合同规定的交货时间提供货物（或服务），从逾期之日起每日按本合同总价1‰的数额向甲方支付违约金；逾期半个月以上的，甲方有权终止合同，由此造成的甲方经济损失由乙方承担。</w:t>
      </w:r>
    </w:p>
    <w:p>
      <w:pPr>
        <w:spacing w:line="360" w:lineRule="auto"/>
        <w:rPr>
          <w:bCs/>
          <w:sz w:val="24"/>
          <w:szCs w:val="24"/>
        </w:rPr>
      </w:pPr>
      <w:r>
        <w:rPr>
          <w:rFonts w:hint="eastAsia"/>
          <w:bCs/>
          <w:sz w:val="24"/>
          <w:szCs w:val="24"/>
        </w:rPr>
        <w:t>3) 甲方无正当理由拒收接受货物（或服务），到期拒付服务款项的，甲方向乙方偿付本合同总的3%的违约金。甲方人逾期付款，则每日按本合同总价的1‰向乙方偿付违约金。</w:t>
      </w:r>
    </w:p>
    <w:p>
      <w:pPr>
        <w:spacing w:line="360" w:lineRule="auto"/>
        <w:rPr>
          <w:bCs/>
          <w:sz w:val="24"/>
          <w:szCs w:val="24"/>
        </w:rPr>
      </w:pPr>
      <w:r>
        <w:rPr>
          <w:rFonts w:hint="eastAsia"/>
          <w:bCs/>
          <w:sz w:val="24"/>
          <w:szCs w:val="24"/>
        </w:rPr>
        <w:t>4) 其它违约责任按《中华人民共和国合同法》处理。</w:t>
      </w:r>
    </w:p>
    <w:p>
      <w:pPr>
        <w:spacing w:line="360" w:lineRule="auto"/>
        <w:rPr>
          <w:bCs/>
          <w:sz w:val="24"/>
          <w:szCs w:val="24"/>
        </w:rPr>
      </w:pPr>
      <w:r>
        <w:rPr>
          <w:rFonts w:hint="eastAsia"/>
          <w:bCs/>
          <w:sz w:val="24"/>
          <w:szCs w:val="24"/>
        </w:rPr>
        <w:t>九、争端的解决</w:t>
      </w:r>
    </w:p>
    <w:p>
      <w:pPr>
        <w:spacing w:line="360" w:lineRule="auto"/>
        <w:rPr>
          <w:bCs/>
          <w:sz w:val="24"/>
          <w:szCs w:val="24"/>
        </w:rPr>
      </w:pPr>
      <w:r>
        <w:rPr>
          <w:rFonts w:hint="eastAsia"/>
          <w:bCs/>
          <w:sz w:val="24"/>
          <w:szCs w:val="24"/>
        </w:rPr>
        <w:t>1)合同执行过程中发生的任何争议，如双方不能通过友好协商解决，按相关法律法规处理。</w:t>
      </w:r>
    </w:p>
    <w:p>
      <w:pPr>
        <w:spacing w:line="360" w:lineRule="auto"/>
        <w:rPr>
          <w:bCs/>
          <w:sz w:val="24"/>
          <w:szCs w:val="24"/>
        </w:rPr>
      </w:pPr>
      <w:r>
        <w:rPr>
          <w:rFonts w:hint="eastAsia"/>
          <w:bCs/>
          <w:sz w:val="24"/>
          <w:szCs w:val="24"/>
        </w:rPr>
        <w:t>十、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360" w:lineRule="auto"/>
        <w:rPr>
          <w:bCs/>
          <w:sz w:val="24"/>
          <w:szCs w:val="24"/>
        </w:rPr>
      </w:pPr>
      <w:r>
        <w:rPr>
          <w:rFonts w:hint="eastAsia"/>
          <w:bCs/>
          <w:sz w:val="24"/>
          <w:szCs w:val="24"/>
        </w:rPr>
        <w:t>十一、税费：在中国境内、外发生的与本合同执行有关的一切税费均由乙方负担。</w:t>
      </w:r>
    </w:p>
    <w:p>
      <w:pPr>
        <w:spacing w:line="360" w:lineRule="auto"/>
        <w:rPr>
          <w:bCs/>
          <w:sz w:val="24"/>
          <w:szCs w:val="24"/>
        </w:rPr>
      </w:pPr>
      <w:r>
        <w:rPr>
          <w:rFonts w:hint="eastAsia"/>
          <w:bCs/>
          <w:sz w:val="24"/>
          <w:szCs w:val="24"/>
        </w:rPr>
        <w:t>十二、其它</w:t>
      </w:r>
    </w:p>
    <w:p>
      <w:pPr>
        <w:spacing w:line="360" w:lineRule="auto"/>
        <w:rPr>
          <w:bCs/>
          <w:sz w:val="24"/>
          <w:szCs w:val="24"/>
        </w:rPr>
      </w:pPr>
      <w:r>
        <w:rPr>
          <w:rFonts w:hint="eastAsia"/>
          <w:bCs/>
          <w:sz w:val="24"/>
          <w:szCs w:val="24"/>
        </w:rPr>
        <w:t>1) 本合同所有附件、采购文件、响应文件、成交通知书通知书均为合同的有效组成部分，与本合同具有同等法律效力。</w:t>
      </w:r>
    </w:p>
    <w:p>
      <w:pPr>
        <w:spacing w:line="360" w:lineRule="auto"/>
        <w:rPr>
          <w:bCs/>
          <w:sz w:val="24"/>
          <w:szCs w:val="24"/>
        </w:rPr>
      </w:pPr>
      <w:r>
        <w:rPr>
          <w:rFonts w:hint="eastAsia"/>
          <w:bCs/>
          <w:sz w:val="24"/>
          <w:szCs w:val="24"/>
        </w:rPr>
        <w:t>2) 在执行本合同的过程中，所有经双方签署确认的文件（包括会议纪要、补充协议、往来信函）即成为本合同的有效组成部分。</w:t>
      </w:r>
    </w:p>
    <w:p>
      <w:pPr>
        <w:spacing w:line="360" w:lineRule="auto"/>
        <w:rPr>
          <w:bCs/>
          <w:sz w:val="24"/>
          <w:szCs w:val="24"/>
        </w:rPr>
      </w:pPr>
      <w:r>
        <w:rPr>
          <w:rFonts w:hint="eastAsia"/>
          <w:bCs/>
          <w:sz w:val="24"/>
          <w:szCs w:val="24"/>
        </w:rPr>
        <w:t xml:space="preserve">3) 如一方地址、电话、传真号码有变更，应在变更当日内书面通知对方，否则，应承担相应责任。 </w:t>
      </w:r>
    </w:p>
    <w:p>
      <w:pPr>
        <w:spacing w:line="360" w:lineRule="auto"/>
        <w:rPr>
          <w:bCs/>
          <w:sz w:val="24"/>
          <w:szCs w:val="24"/>
        </w:rPr>
      </w:pPr>
      <w:r>
        <w:rPr>
          <w:rFonts w:hint="eastAsia"/>
          <w:bCs/>
          <w:sz w:val="24"/>
          <w:szCs w:val="24"/>
        </w:rPr>
        <w:t>4) 除甲方事先书面同意外，乙方不得部分或全部转让其应履行的合同项下的义务。</w:t>
      </w:r>
    </w:p>
    <w:p>
      <w:pPr>
        <w:spacing w:line="360" w:lineRule="auto"/>
        <w:rPr>
          <w:bCs/>
          <w:sz w:val="24"/>
          <w:szCs w:val="24"/>
        </w:rPr>
      </w:pPr>
      <w:r>
        <w:rPr>
          <w:rFonts w:hint="eastAsia"/>
          <w:bCs/>
          <w:sz w:val="24"/>
          <w:szCs w:val="24"/>
        </w:rPr>
        <w:t>十二、合同生效：</w:t>
      </w:r>
    </w:p>
    <w:p>
      <w:pPr>
        <w:spacing w:line="360" w:lineRule="auto"/>
        <w:rPr>
          <w:bCs/>
          <w:sz w:val="24"/>
          <w:szCs w:val="24"/>
        </w:rPr>
      </w:pPr>
      <w:r>
        <w:rPr>
          <w:rFonts w:hint="eastAsia"/>
          <w:bCs/>
          <w:sz w:val="24"/>
          <w:szCs w:val="24"/>
        </w:rPr>
        <w:t>1）本合同在甲乙双方法人代表或其授权代表签字盖章后生效。</w:t>
      </w:r>
    </w:p>
    <w:p>
      <w:pPr>
        <w:spacing w:line="340" w:lineRule="exact"/>
        <w:rPr>
          <w:bCs/>
          <w:sz w:val="24"/>
          <w:szCs w:val="24"/>
        </w:rPr>
      </w:pPr>
      <w:r>
        <w:rPr>
          <w:rFonts w:hint="eastAsia"/>
          <w:bCs/>
          <w:sz w:val="24"/>
          <w:szCs w:val="24"/>
        </w:rPr>
        <w:t>2）合同一式</w:t>
      </w:r>
      <w:r>
        <w:rPr>
          <w:rFonts w:hint="eastAsia"/>
          <w:bCs/>
          <w:sz w:val="24"/>
          <w:szCs w:val="24"/>
          <w:u w:val="single"/>
        </w:rPr>
        <w:t xml:space="preserve">    </w:t>
      </w:r>
      <w:r>
        <w:rPr>
          <w:rFonts w:hint="eastAsia"/>
          <w:bCs/>
          <w:sz w:val="24"/>
          <w:szCs w:val="24"/>
        </w:rPr>
        <w:t>份。</w:t>
      </w:r>
    </w:p>
    <w:p>
      <w:pPr>
        <w:spacing w:line="340" w:lineRule="exact"/>
        <w:rPr>
          <w:bCs/>
          <w:sz w:val="24"/>
          <w:szCs w:val="24"/>
        </w:rPr>
      </w:pPr>
    </w:p>
    <w:p>
      <w:pPr>
        <w:spacing w:line="360" w:lineRule="auto"/>
        <w:rPr>
          <w:bCs/>
          <w:sz w:val="24"/>
          <w:szCs w:val="24"/>
        </w:rPr>
      </w:pPr>
      <w:r>
        <w:rPr>
          <w:rFonts w:hint="eastAsia"/>
          <w:bCs/>
          <w:sz w:val="24"/>
          <w:szCs w:val="24"/>
        </w:rPr>
        <w:t>甲方（盖章）：                       乙方（盖章）：</w:t>
      </w:r>
    </w:p>
    <w:p>
      <w:pPr>
        <w:spacing w:line="360" w:lineRule="auto"/>
        <w:rPr>
          <w:bCs/>
          <w:sz w:val="24"/>
          <w:szCs w:val="24"/>
        </w:rPr>
      </w:pPr>
      <w:r>
        <w:rPr>
          <w:rFonts w:hint="eastAsia"/>
          <w:bCs/>
          <w:sz w:val="24"/>
          <w:szCs w:val="24"/>
        </w:rPr>
        <w:t xml:space="preserve">代表：                               代表： </w:t>
      </w:r>
    </w:p>
    <w:p>
      <w:pPr>
        <w:spacing w:line="360" w:lineRule="auto"/>
        <w:rPr>
          <w:bCs/>
          <w:sz w:val="24"/>
          <w:szCs w:val="24"/>
        </w:rPr>
      </w:pPr>
      <w:r>
        <w:rPr>
          <w:rFonts w:hint="eastAsia"/>
          <w:bCs/>
          <w:sz w:val="24"/>
          <w:szCs w:val="24"/>
        </w:rPr>
        <w:t>签定地点：</w:t>
      </w:r>
    </w:p>
    <w:p>
      <w:pPr>
        <w:spacing w:line="360" w:lineRule="auto"/>
        <w:rPr>
          <w:bCs/>
          <w:sz w:val="24"/>
          <w:szCs w:val="24"/>
        </w:rPr>
      </w:pPr>
      <w:r>
        <w:rPr>
          <w:rFonts w:hint="eastAsia"/>
          <w:bCs/>
          <w:sz w:val="24"/>
          <w:szCs w:val="24"/>
        </w:rPr>
        <w:t xml:space="preserve">签定日期：   年     月    日         签定日期：        年     月     日 </w:t>
      </w:r>
    </w:p>
    <w:p>
      <w:pPr>
        <w:spacing w:line="360" w:lineRule="auto"/>
        <w:ind w:firstLine="4420"/>
        <w:rPr>
          <w:bCs/>
          <w:sz w:val="24"/>
          <w:szCs w:val="24"/>
        </w:rPr>
      </w:pPr>
      <w:r>
        <w:rPr>
          <w:rFonts w:hint="eastAsia"/>
          <w:bCs/>
          <w:sz w:val="24"/>
          <w:szCs w:val="24"/>
        </w:rPr>
        <w:t>开户名称：</w:t>
      </w:r>
    </w:p>
    <w:p>
      <w:pPr>
        <w:spacing w:line="360" w:lineRule="auto"/>
        <w:ind w:firstLine="4420"/>
        <w:rPr>
          <w:bCs/>
          <w:sz w:val="24"/>
          <w:szCs w:val="24"/>
        </w:rPr>
      </w:pPr>
      <w:r>
        <w:rPr>
          <w:rFonts w:hint="eastAsia"/>
          <w:bCs/>
          <w:sz w:val="24"/>
          <w:szCs w:val="24"/>
        </w:rPr>
        <w:t>银行帐号：</w:t>
      </w:r>
    </w:p>
    <w:p>
      <w:pPr>
        <w:pStyle w:val="4"/>
        <w:ind w:left="0"/>
        <w:jc w:val="center"/>
        <w:rPr>
          <w:bCs/>
          <w:sz w:val="24"/>
          <w:szCs w:val="24"/>
        </w:rPr>
      </w:pPr>
      <w:bookmarkStart w:id="87" w:name="_Toc18958"/>
      <w:r>
        <w:rPr>
          <w:rFonts w:hint="eastAsia"/>
          <w:bCs/>
          <w:sz w:val="24"/>
          <w:szCs w:val="24"/>
        </w:rPr>
        <w:t>开 户 行</w:t>
      </w:r>
      <w:bookmarkEnd w:id="87"/>
    </w:p>
    <w:p>
      <w:pPr>
        <w:rPr>
          <w:bCs/>
          <w:sz w:val="24"/>
          <w:szCs w:val="24"/>
        </w:rPr>
      </w:pPr>
      <w:r>
        <w:rPr>
          <w:rFonts w:hint="eastAsia"/>
          <w:bCs/>
          <w:sz w:val="24"/>
          <w:szCs w:val="24"/>
        </w:rPr>
        <w:br w:type="page"/>
      </w:r>
    </w:p>
    <w:p>
      <w:pPr>
        <w:pStyle w:val="4"/>
        <w:ind w:left="0"/>
        <w:jc w:val="center"/>
        <w:rPr>
          <w:b/>
          <w:bCs/>
        </w:rPr>
      </w:pPr>
      <w:bookmarkStart w:id="88" w:name="_Toc10061"/>
      <w:r>
        <w:rPr>
          <w:b/>
          <w:bCs/>
        </w:rPr>
        <w:t>第五章</w:t>
      </w:r>
      <w:r>
        <w:rPr>
          <w:rFonts w:hint="eastAsia"/>
          <w:b/>
          <w:bCs/>
          <w:lang w:val="en-US"/>
        </w:rPr>
        <w:t xml:space="preserve">  </w:t>
      </w:r>
      <w:r>
        <w:rPr>
          <w:b/>
          <w:bCs/>
        </w:rPr>
        <w:t>评标方法</w:t>
      </w:r>
      <w:bookmarkEnd w:id="88"/>
    </w:p>
    <w:p>
      <w:pPr>
        <w:pStyle w:val="10"/>
        <w:rPr>
          <w:rFonts w:ascii="黑体"/>
          <w:b/>
          <w:sz w:val="20"/>
        </w:rPr>
      </w:pPr>
    </w:p>
    <w:p>
      <w:pPr>
        <w:pStyle w:val="10"/>
        <w:spacing w:before="12"/>
        <w:rPr>
          <w:rFonts w:ascii="黑体"/>
          <w:b/>
          <w:sz w:val="19"/>
        </w:rPr>
      </w:pPr>
    </w:p>
    <w:p>
      <w:pPr>
        <w:pStyle w:val="34"/>
        <w:tabs>
          <w:tab w:val="left" w:pos="720"/>
        </w:tabs>
        <w:spacing w:line="499" w:lineRule="auto"/>
        <w:ind w:left="0" w:right="399" w:firstLine="480" w:firstLineChars="200"/>
        <w:jc w:val="both"/>
        <w:rPr>
          <w:sz w:val="24"/>
          <w:szCs w:val="24"/>
          <w:lang w:val="en-US"/>
        </w:rPr>
      </w:pPr>
      <w:r>
        <w:rPr>
          <w:rFonts w:hint="eastAsia"/>
          <w:sz w:val="24"/>
          <w:szCs w:val="24"/>
          <w:lang w:val="en-US"/>
        </w:rPr>
        <w:t>1.采用公开招标方式</w:t>
      </w:r>
    </w:p>
    <w:p>
      <w:pPr>
        <w:pStyle w:val="34"/>
        <w:tabs>
          <w:tab w:val="left" w:pos="720"/>
        </w:tabs>
        <w:spacing w:line="499" w:lineRule="auto"/>
        <w:ind w:left="0" w:right="399" w:firstLine="480" w:firstLineChars="200"/>
        <w:jc w:val="both"/>
        <w:rPr>
          <w:sz w:val="24"/>
          <w:szCs w:val="24"/>
          <w:lang w:val="en-US"/>
        </w:rPr>
      </w:pPr>
      <w:r>
        <w:rPr>
          <w:rFonts w:hint="eastAsia"/>
          <w:sz w:val="24"/>
          <w:szCs w:val="24"/>
          <w:lang w:val="en-US"/>
        </w:rPr>
        <w:t>2.评标方法按照《中华人民共和国政府采购法》、《中华人民共和国政府采购法实施条例》等相关法律法规的规定，本次评标采用综合评分法，即在最大限度地满足招标文件实质性要求前提下，按照招标文件中规定的各项因素和相应的权重分值进行综合评审后，以总得分最高的投标供应商作为中标候人并依次排序。</w:t>
      </w:r>
    </w:p>
    <w:p>
      <w:pPr>
        <w:pStyle w:val="34"/>
        <w:tabs>
          <w:tab w:val="left" w:pos="720"/>
        </w:tabs>
        <w:spacing w:line="499" w:lineRule="auto"/>
        <w:ind w:left="0" w:right="399" w:firstLine="480" w:firstLineChars="200"/>
        <w:jc w:val="both"/>
        <w:rPr>
          <w:sz w:val="24"/>
          <w:szCs w:val="24"/>
        </w:rPr>
      </w:pPr>
      <w:r>
        <w:rPr>
          <w:rFonts w:hint="eastAsia"/>
          <w:sz w:val="24"/>
          <w:szCs w:val="24"/>
          <w:lang w:val="en-US"/>
        </w:rPr>
        <w:t>3.</w:t>
      </w:r>
      <w:r>
        <w:rPr>
          <w:sz w:val="24"/>
          <w:szCs w:val="24"/>
        </w:rPr>
        <w:t>评标程序</w:t>
      </w:r>
    </w:p>
    <w:p>
      <w:pPr>
        <w:pStyle w:val="34"/>
        <w:tabs>
          <w:tab w:val="left" w:pos="720"/>
        </w:tabs>
        <w:spacing w:line="499" w:lineRule="auto"/>
        <w:ind w:left="0" w:right="399" w:firstLine="480" w:firstLineChars="200"/>
        <w:jc w:val="both"/>
        <w:rPr>
          <w:sz w:val="24"/>
          <w:szCs w:val="24"/>
        </w:rPr>
      </w:pPr>
      <w:r>
        <w:rPr>
          <w:rFonts w:hint="eastAsia"/>
          <w:sz w:val="24"/>
          <w:szCs w:val="24"/>
          <w:lang w:val="en-US"/>
        </w:rPr>
        <w:t>3.1</w:t>
      </w:r>
      <w:r>
        <w:rPr>
          <w:sz w:val="24"/>
          <w:szCs w:val="24"/>
        </w:rPr>
        <w:t>按照初审、详评、推荐中标排序三个步骤进行评标。在上一步评审中不合格者，不进入下一步的评审。</w:t>
      </w:r>
    </w:p>
    <w:p>
      <w:pPr>
        <w:pStyle w:val="34"/>
        <w:tabs>
          <w:tab w:val="left" w:pos="720"/>
        </w:tabs>
        <w:spacing w:line="499" w:lineRule="auto"/>
        <w:ind w:left="0" w:right="399" w:firstLine="480" w:firstLineChars="200"/>
        <w:jc w:val="both"/>
        <w:rPr>
          <w:sz w:val="24"/>
          <w:szCs w:val="24"/>
        </w:rPr>
      </w:pPr>
      <w:r>
        <w:rPr>
          <w:sz w:val="24"/>
          <w:szCs w:val="24"/>
        </w:rPr>
        <w:t>⑴对投标文件的初审：按照以下内容对投标文件初审分资格性审查和符合性审查，一项不合格即为废标。</w:t>
      </w:r>
    </w:p>
    <w:p>
      <w:pPr>
        <w:pStyle w:val="34"/>
        <w:tabs>
          <w:tab w:val="left" w:pos="720"/>
        </w:tabs>
        <w:spacing w:line="499" w:lineRule="auto"/>
        <w:ind w:left="0" w:right="399" w:firstLine="480" w:firstLineChars="200"/>
        <w:jc w:val="both"/>
        <w:rPr>
          <w:sz w:val="24"/>
          <w:szCs w:val="24"/>
        </w:rPr>
      </w:pPr>
      <w:r>
        <w:rPr>
          <w:sz w:val="24"/>
          <w:szCs w:val="24"/>
        </w:rPr>
        <w:t>⑵投标文件的完整性。投标文件构成和投标报价是否有重大缺项，是否按照招标文件要求的格式编写投标文件。</w:t>
      </w:r>
    </w:p>
    <w:p>
      <w:pPr>
        <w:pStyle w:val="34"/>
        <w:tabs>
          <w:tab w:val="left" w:pos="720"/>
        </w:tabs>
        <w:spacing w:line="499" w:lineRule="auto"/>
        <w:ind w:left="0" w:right="399" w:firstLine="480" w:firstLineChars="200"/>
        <w:jc w:val="both"/>
        <w:rPr>
          <w:sz w:val="24"/>
          <w:szCs w:val="24"/>
        </w:rPr>
      </w:pPr>
      <w:r>
        <w:rPr>
          <w:sz w:val="24"/>
          <w:szCs w:val="24"/>
        </w:rPr>
        <w:t>⑶投标文件的有效性。投标文件的签署、加盖印章是否合格、有效；提供的各种证明文件、数据、资料是否真实、有效。</w:t>
      </w:r>
    </w:p>
    <w:p>
      <w:pPr>
        <w:pStyle w:val="34"/>
        <w:tabs>
          <w:tab w:val="left" w:pos="720"/>
        </w:tabs>
        <w:spacing w:line="499" w:lineRule="auto"/>
        <w:ind w:left="0" w:right="399" w:firstLine="480" w:firstLineChars="200"/>
        <w:jc w:val="both"/>
        <w:rPr>
          <w:sz w:val="24"/>
          <w:szCs w:val="24"/>
        </w:rPr>
      </w:pPr>
      <w:r>
        <w:rPr>
          <w:sz w:val="24"/>
          <w:szCs w:val="24"/>
        </w:rPr>
        <w:t>⑷提供的资格证明文件是否符合招标文件要求。</w:t>
      </w:r>
    </w:p>
    <w:p>
      <w:pPr>
        <w:pStyle w:val="34"/>
        <w:tabs>
          <w:tab w:val="left" w:pos="720"/>
        </w:tabs>
        <w:spacing w:line="499" w:lineRule="auto"/>
        <w:ind w:left="0" w:right="399" w:firstLine="480" w:firstLineChars="200"/>
        <w:jc w:val="both"/>
        <w:rPr>
          <w:sz w:val="24"/>
          <w:szCs w:val="24"/>
          <w:lang w:val="en-US"/>
        </w:rPr>
      </w:pPr>
      <w:r>
        <w:rPr>
          <w:rFonts w:hint="eastAsia"/>
          <w:sz w:val="24"/>
          <w:szCs w:val="24"/>
          <w:lang w:val="en-US"/>
        </w:rPr>
        <w:t>3.2投标文件的响应性。投标文件是否响应招标文件要求；是否满足本次投标的特殊要求；投标方案是否有重大缺漏项；投标获取的技术规格是否有重大偏离；投标商务条款是否有重大偏离；对合同中规定的双方的权利和义务是否做出了实质性修改。</w:t>
      </w:r>
    </w:p>
    <w:p>
      <w:pPr>
        <w:pStyle w:val="34"/>
        <w:tabs>
          <w:tab w:val="left" w:pos="720"/>
        </w:tabs>
        <w:spacing w:line="499" w:lineRule="auto"/>
        <w:ind w:left="0" w:right="399" w:firstLine="480" w:firstLineChars="200"/>
        <w:jc w:val="both"/>
        <w:rPr>
          <w:sz w:val="24"/>
          <w:szCs w:val="24"/>
          <w:lang w:val="en-US"/>
        </w:rPr>
      </w:pPr>
      <w:r>
        <w:rPr>
          <w:rFonts w:hint="eastAsia"/>
          <w:sz w:val="24"/>
          <w:szCs w:val="24"/>
          <w:lang w:val="en-US"/>
        </w:rPr>
        <w:t>3.3对于投标文件中可能出现的不一致和算术计算错误按以下方法更正：</w:t>
      </w:r>
    </w:p>
    <w:p>
      <w:pPr>
        <w:pStyle w:val="10"/>
        <w:spacing w:line="499" w:lineRule="auto"/>
        <w:ind w:left="139" w:right="399" w:firstLine="420"/>
        <w:rPr>
          <w:sz w:val="24"/>
          <w:szCs w:val="24"/>
        </w:rPr>
      </w:pPr>
      <w:r>
        <w:rPr>
          <w:sz w:val="24"/>
          <w:szCs w:val="24"/>
        </w:rPr>
        <w:t>⑴总价金额与按单价汇总金额不一致的，以单价金额汇总计算结果为准；但单价金额小数点有明显错位的，以总价为准，并修正单价。</w:t>
      </w:r>
    </w:p>
    <w:p>
      <w:pPr>
        <w:pStyle w:val="10"/>
        <w:spacing w:before="2" w:line="499" w:lineRule="auto"/>
        <w:ind w:left="139" w:right="399" w:firstLine="420"/>
        <w:rPr>
          <w:sz w:val="24"/>
          <w:szCs w:val="24"/>
        </w:rPr>
      </w:pPr>
      <w:r>
        <w:rPr>
          <w:sz w:val="24"/>
          <w:szCs w:val="24"/>
        </w:rPr>
        <w:t>⑵评委会将按照上述修正错误的方法修正投标文件中的投标报价，修正后的价格对投标供应商具有约束力。如果投标供应商不接受修正后的价格，其投标将被拒绝。</w:t>
      </w:r>
    </w:p>
    <w:p>
      <w:pPr>
        <w:pStyle w:val="34"/>
        <w:tabs>
          <w:tab w:val="left" w:pos="876"/>
        </w:tabs>
        <w:spacing w:before="1" w:line="499" w:lineRule="auto"/>
        <w:ind w:left="0" w:right="397" w:firstLine="480" w:firstLineChars="200"/>
        <w:rPr>
          <w:sz w:val="24"/>
          <w:szCs w:val="24"/>
        </w:rPr>
      </w:pPr>
      <w:r>
        <w:rPr>
          <w:rFonts w:hint="eastAsia"/>
          <w:sz w:val="24"/>
          <w:szCs w:val="24"/>
          <w:lang w:val="en-US"/>
        </w:rPr>
        <w:t>3.4</w:t>
      </w:r>
      <w:r>
        <w:rPr>
          <w:sz w:val="24"/>
          <w:szCs w:val="24"/>
        </w:rPr>
        <w:t>详评和推荐中标排序：对于经初审合格的所有投标，由评委会各成员按照下列《综合评分明细表》规定的内容独立进行综合评价、比较打分，然后汇总每个投标供应商的得分，按从高到低依次排序，推荐中标候选人。</w:t>
      </w:r>
    </w:p>
    <w:p>
      <w:pPr>
        <w:rPr>
          <w:sz w:val="24"/>
          <w:szCs w:val="24"/>
          <w:lang w:val="en-US"/>
        </w:rPr>
      </w:pPr>
      <w:r>
        <w:rPr>
          <w:rFonts w:hint="eastAsia"/>
          <w:sz w:val="24"/>
          <w:szCs w:val="24"/>
          <w:lang w:val="en-US"/>
        </w:rPr>
        <w:t>4.1资格、符合性及响应性评审</w:t>
      </w:r>
    </w:p>
    <w:tbl>
      <w:tblPr>
        <w:tblStyle w:val="24"/>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4847"/>
        <w:gridCol w:w="4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95" w:type="dxa"/>
          </w:tcPr>
          <w:p>
            <w:pPr>
              <w:spacing w:line="360" w:lineRule="exact"/>
              <w:rPr>
                <w:sz w:val="24"/>
                <w:szCs w:val="24"/>
              </w:rPr>
            </w:pPr>
            <w:r>
              <w:rPr>
                <w:rFonts w:hint="eastAsia"/>
                <w:sz w:val="24"/>
                <w:szCs w:val="24"/>
              </w:rPr>
              <w:t>序号</w:t>
            </w:r>
          </w:p>
        </w:tc>
        <w:tc>
          <w:tcPr>
            <w:tcW w:w="4847" w:type="dxa"/>
          </w:tcPr>
          <w:p>
            <w:pPr>
              <w:spacing w:line="360" w:lineRule="exact"/>
              <w:jc w:val="center"/>
              <w:rPr>
                <w:sz w:val="24"/>
                <w:szCs w:val="24"/>
              </w:rPr>
            </w:pPr>
            <w:r>
              <w:rPr>
                <w:rFonts w:hint="eastAsia"/>
                <w:sz w:val="24"/>
                <w:szCs w:val="24"/>
              </w:rPr>
              <w:t>审查内容</w:t>
            </w:r>
          </w:p>
        </w:tc>
        <w:tc>
          <w:tcPr>
            <w:tcW w:w="4237" w:type="dxa"/>
          </w:tcPr>
          <w:p>
            <w:pPr>
              <w:spacing w:line="360" w:lineRule="exact"/>
              <w:ind w:firstLine="960" w:firstLineChars="400"/>
              <w:rPr>
                <w:sz w:val="24"/>
                <w:szCs w:val="24"/>
              </w:rPr>
            </w:pPr>
            <w:r>
              <w:rPr>
                <w:rFonts w:hint="eastAsia"/>
                <w:sz w:val="24"/>
                <w:szCs w:val="24"/>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95" w:type="dxa"/>
          </w:tcPr>
          <w:p>
            <w:pPr>
              <w:spacing w:line="360" w:lineRule="exact"/>
              <w:ind w:firstLine="240" w:firstLineChars="100"/>
              <w:rPr>
                <w:sz w:val="24"/>
                <w:szCs w:val="24"/>
                <w:lang w:val="en-US"/>
              </w:rPr>
            </w:pPr>
            <w:r>
              <w:rPr>
                <w:rFonts w:hint="eastAsia"/>
                <w:sz w:val="24"/>
                <w:szCs w:val="24"/>
                <w:lang w:val="en-US"/>
              </w:rPr>
              <w:t>1</w:t>
            </w:r>
          </w:p>
        </w:tc>
        <w:tc>
          <w:tcPr>
            <w:tcW w:w="4847" w:type="dxa"/>
          </w:tcPr>
          <w:p>
            <w:pPr>
              <w:tabs>
                <w:tab w:val="left" w:pos="2127"/>
              </w:tabs>
              <w:adjustRightInd w:val="0"/>
              <w:snapToGrid w:val="0"/>
              <w:spacing w:line="360" w:lineRule="exact"/>
              <w:rPr>
                <w:sz w:val="24"/>
                <w:szCs w:val="24"/>
              </w:rPr>
            </w:pPr>
            <w:r>
              <w:rPr>
                <w:rFonts w:hint="eastAsia"/>
                <w:sz w:val="24"/>
                <w:szCs w:val="24"/>
                <w:lang w:val="en-US"/>
              </w:rPr>
              <w:t>投标</w:t>
            </w:r>
            <w:r>
              <w:rPr>
                <w:rFonts w:hint="eastAsia"/>
                <w:sz w:val="24"/>
                <w:szCs w:val="24"/>
              </w:rPr>
              <w:t>文件签字盖章</w:t>
            </w:r>
          </w:p>
        </w:tc>
        <w:tc>
          <w:tcPr>
            <w:tcW w:w="4237" w:type="dxa"/>
          </w:tcPr>
          <w:p>
            <w:pPr>
              <w:tabs>
                <w:tab w:val="left" w:pos="2127"/>
              </w:tabs>
              <w:adjustRightInd w:val="0"/>
              <w:snapToGrid w:val="0"/>
              <w:spacing w:line="360" w:lineRule="exact"/>
              <w:rPr>
                <w:sz w:val="24"/>
                <w:szCs w:val="24"/>
                <w:lang w:val="en-US"/>
              </w:rPr>
            </w:pPr>
            <w:r>
              <w:rPr>
                <w:rFonts w:hint="eastAsia"/>
                <w:sz w:val="24"/>
                <w:szCs w:val="24"/>
                <w:lang w:val="en-US"/>
              </w:rPr>
              <w:t>符合</w:t>
            </w:r>
            <w:r>
              <w:rPr>
                <w:rFonts w:hint="eastAsia"/>
                <w:sz w:val="24"/>
                <w:szCs w:val="24"/>
              </w:rPr>
              <w:t>招标文件</w:t>
            </w:r>
            <w:r>
              <w:rPr>
                <w:rFonts w:hint="eastAsia"/>
                <w:sz w:val="24"/>
                <w:szCs w:val="24"/>
                <w:lang w:val="en-US"/>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95" w:type="dxa"/>
            <w:vAlign w:val="center"/>
          </w:tcPr>
          <w:p>
            <w:pPr>
              <w:spacing w:line="360" w:lineRule="exact"/>
              <w:jc w:val="center"/>
              <w:rPr>
                <w:sz w:val="24"/>
                <w:szCs w:val="24"/>
              </w:rPr>
            </w:pPr>
            <w:r>
              <w:rPr>
                <w:rFonts w:hint="eastAsia"/>
                <w:sz w:val="24"/>
                <w:szCs w:val="24"/>
                <w:lang w:val="en-US"/>
              </w:rPr>
              <w:t>2</w:t>
            </w:r>
          </w:p>
        </w:tc>
        <w:tc>
          <w:tcPr>
            <w:tcW w:w="4847" w:type="dxa"/>
            <w:vAlign w:val="center"/>
          </w:tcPr>
          <w:p>
            <w:pPr>
              <w:tabs>
                <w:tab w:val="left" w:pos="2127"/>
              </w:tabs>
              <w:adjustRightInd w:val="0"/>
              <w:snapToGrid w:val="0"/>
              <w:spacing w:line="360" w:lineRule="exact"/>
              <w:rPr>
                <w:sz w:val="24"/>
                <w:szCs w:val="24"/>
              </w:rPr>
            </w:pPr>
            <w:r>
              <w:rPr>
                <w:rFonts w:hint="eastAsia"/>
                <w:sz w:val="24"/>
                <w:szCs w:val="24"/>
              </w:rPr>
              <w:t>具有独立承担民事责任的能力</w:t>
            </w:r>
          </w:p>
        </w:tc>
        <w:tc>
          <w:tcPr>
            <w:tcW w:w="4237" w:type="dxa"/>
            <w:vAlign w:val="center"/>
          </w:tcPr>
          <w:p>
            <w:pPr>
              <w:tabs>
                <w:tab w:val="left" w:pos="2127"/>
              </w:tabs>
              <w:adjustRightInd w:val="0"/>
              <w:snapToGrid w:val="0"/>
              <w:spacing w:line="360" w:lineRule="exact"/>
              <w:rPr>
                <w:sz w:val="24"/>
                <w:szCs w:val="24"/>
              </w:rPr>
            </w:pPr>
            <w:r>
              <w:rPr>
                <w:rFonts w:hint="eastAsia"/>
                <w:sz w:val="24"/>
                <w:szCs w:val="24"/>
              </w:rPr>
              <w:t>提供法人或其他组织的营业执照等证明文件，或自然人身份证明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95" w:type="dxa"/>
            <w:vAlign w:val="center"/>
          </w:tcPr>
          <w:p>
            <w:pPr>
              <w:spacing w:line="360" w:lineRule="exact"/>
              <w:jc w:val="center"/>
              <w:rPr>
                <w:sz w:val="24"/>
                <w:szCs w:val="24"/>
              </w:rPr>
            </w:pPr>
            <w:r>
              <w:rPr>
                <w:rFonts w:hint="eastAsia"/>
                <w:sz w:val="24"/>
                <w:szCs w:val="24"/>
                <w:lang w:val="en-US"/>
              </w:rPr>
              <w:t>3</w:t>
            </w:r>
          </w:p>
        </w:tc>
        <w:tc>
          <w:tcPr>
            <w:tcW w:w="4847" w:type="dxa"/>
            <w:vAlign w:val="center"/>
          </w:tcPr>
          <w:p>
            <w:pPr>
              <w:tabs>
                <w:tab w:val="left" w:pos="2127"/>
              </w:tabs>
              <w:adjustRightInd w:val="0"/>
              <w:snapToGrid w:val="0"/>
              <w:spacing w:line="360" w:lineRule="exact"/>
              <w:rPr>
                <w:sz w:val="24"/>
                <w:szCs w:val="24"/>
              </w:rPr>
            </w:pPr>
            <w:r>
              <w:rPr>
                <w:rFonts w:hint="eastAsia"/>
                <w:sz w:val="24"/>
                <w:szCs w:val="24"/>
              </w:rPr>
              <w:t>具有良好的商业信誉和健全的财务会计制度</w:t>
            </w:r>
          </w:p>
        </w:tc>
        <w:tc>
          <w:tcPr>
            <w:tcW w:w="4237" w:type="dxa"/>
          </w:tcPr>
          <w:p>
            <w:pPr>
              <w:tabs>
                <w:tab w:val="left" w:pos="2127"/>
              </w:tabs>
              <w:adjustRightInd w:val="0"/>
              <w:snapToGrid w:val="0"/>
              <w:spacing w:line="360" w:lineRule="exact"/>
              <w:rPr>
                <w:sz w:val="24"/>
                <w:szCs w:val="24"/>
              </w:rPr>
            </w:pPr>
            <w:r>
              <w:rPr>
                <w:rFonts w:hint="eastAsia"/>
                <w:sz w:val="24"/>
                <w:szCs w:val="24"/>
              </w:rPr>
              <w:t>提供2020年度或2021年度经中介机构出具的财务审计报告（含财务报表）或自行承诺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95" w:type="dxa"/>
            <w:vAlign w:val="center"/>
          </w:tcPr>
          <w:p>
            <w:pPr>
              <w:spacing w:line="360" w:lineRule="exact"/>
              <w:jc w:val="center"/>
              <w:rPr>
                <w:sz w:val="24"/>
                <w:szCs w:val="24"/>
              </w:rPr>
            </w:pPr>
            <w:r>
              <w:rPr>
                <w:rFonts w:hint="eastAsia"/>
                <w:sz w:val="24"/>
                <w:szCs w:val="24"/>
                <w:lang w:val="en-US"/>
              </w:rPr>
              <w:t>4</w:t>
            </w:r>
          </w:p>
        </w:tc>
        <w:tc>
          <w:tcPr>
            <w:tcW w:w="4847" w:type="dxa"/>
            <w:vAlign w:val="center"/>
          </w:tcPr>
          <w:p>
            <w:pPr>
              <w:tabs>
                <w:tab w:val="left" w:pos="2127"/>
              </w:tabs>
              <w:adjustRightInd w:val="0"/>
              <w:snapToGrid w:val="0"/>
              <w:spacing w:line="360" w:lineRule="exact"/>
              <w:rPr>
                <w:sz w:val="24"/>
                <w:szCs w:val="24"/>
              </w:rPr>
            </w:pPr>
            <w:r>
              <w:rPr>
                <w:rFonts w:hint="eastAsia"/>
                <w:sz w:val="24"/>
                <w:szCs w:val="24"/>
              </w:rPr>
              <w:t>具有履行合同所必须的设备和专业技术能力</w:t>
            </w:r>
          </w:p>
        </w:tc>
        <w:tc>
          <w:tcPr>
            <w:tcW w:w="4237" w:type="dxa"/>
          </w:tcPr>
          <w:p>
            <w:pPr>
              <w:tabs>
                <w:tab w:val="left" w:pos="2127"/>
              </w:tabs>
              <w:adjustRightInd w:val="0"/>
              <w:snapToGrid w:val="0"/>
              <w:spacing w:line="360" w:lineRule="exact"/>
              <w:rPr>
                <w:sz w:val="24"/>
                <w:szCs w:val="24"/>
                <w:lang w:val="en-US"/>
              </w:rPr>
            </w:pPr>
            <w:r>
              <w:rPr>
                <w:rFonts w:hint="eastAsia"/>
                <w:sz w:val="24"/>
                <w:szCs w:val="24"/>
              </w:rPr>
              <w:t>提供具备履行合同所必需的设备和专业技术能力的证明材料或自行承</w:t>
            </w:r>
            <w:r>
              <w:rPr>
                <w:rFonts w:hint="eastAsia"/>
                <w:sz w:val="24"/>
                <w:szCs w:val="24"/>
                <w:lang w:val="en-US"/>
              </w:rPr>
              <w:t>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5" w:type="dxa"/>
            <w:vAlign w:val="center"/>
          </w:tcPr>
          <w:p>
            <w:pPr>
              <w:spacing w:line="360" w:lineRule="exact"/>
              <w:jc w:val="center"/>
              <w:rPr>
                <w:sz w:val="24"/>
                <w:szCs w:val="24"/>
              </w:rPr>
            </w:pPr>
            <w:r>
              <w:rPr>
                <w:rFonts w:hint="eastAsia"/>
                <w:sz w:val="24"/>
                <w:szCs w:val="24"/>
                <w:lang w:val="en-US"/>
              </w:rPr>
              <w:t>5</w:t>
            </w:r>
          </w:p>
        </w:tc>
        <w:tc>
          <w:tcPr>
            <w:tcW w:w="4847" w:type="dxa"/>
            <w:vAlign w:val="center"/>
          </w:tcPr>
          <w:p>
            <w:pPr>
              <w:tabs>
                <w:tab w:val="left" w:pos="2127"/>
              </w:tabs>
              <w:adjustRightInd w:val="0"/>
              <w:snapToGrid w:val="0"/>
              <w:spacing w:line="360" w:lineRule="exact"/>
              <w:rPr>
                <w:sz w:val="24"/>
                <w:szCs w:val="24"/>
              </w:rPr>
            </w:pPr>
            <w:r>
              <w:rPr>
                <w:rFonts w:hint="eastAsia"/>
                <w:sz w:val="24"/>
                <w:szCs w:val="24"/>
              </w:rPr>
              <w:t>具有依法缴纳税收和社会保障资金的良好记录</w:t>
            </w:r>
          </w:p>
        </w:tc>
        <w:tc>
          <w:tcPr>
            <w:tcW w:w="4237" w:type="dxa"/>
          </w:tcPr>
          <w:p>
            <w:pPr>
              <w:tabs>
                <w:tab w:val="left" w:pos="2127"/>
              </w:tabs>
              <w:adjustRightInd w:val="0"/>
              <w:snapToGrid w:val="0"/>
              <w:spacing w:line="360" w:lineRule="exact"/>
              <w:rPr>
                <w:sz w:val="24"/>
                <w:szCs w:val="24"/>
              </w:rPr>
            </w:pPr>
            <w:r>
              <w:rPr>
                <w:rFonts w:hint="eastAsia"/>
                <w:sz w:val="24"/>
                <w:szCs w:val="24"/>
                <w:lang w:val="en-US"/>
              </w:rPr>
              <w:t>提供</w:t>
            </w:r>
            <w:r>
              <w:rPr>
                <w:rFonts w:hint="eastAsia"/>
                <w:sz w:val="24"/>
                <w:szCs w:val="24"/>
              </w:rPr>
              <w:t>近</w:t>
            </w:r>
            <w:r>
              <w:rPr>
                <w:rFonts w:hint="eastAsia"/>
                <w:sz w:val="24"/>
                <w:szCs w:val="24"/>
                <w:lang w:val="en-US"/>
              </w:rPr>
              <w:t>3</w:t>
            </w:r>
            <w:r>
              <w:rPr>
                <w:rFonts w:hint="eastAsia"/>
                <w:sz w:val="24"/>
                <w:szCs w:val="24"/>
              </w:rPr>
              <w:t>个月的缴纳税收和社会保障资金的相关材料或自行承</w:t>
            </w:r>
            <w:r>
              <w:rPr>
                <w:rFonts w:hint="eastAsia"/>
                <w:sz w:val="24"/>
                <w:szCs w:val="24"/>
                <w:lang w:val="en-US"/>
              </w:rPr>
              <w:t>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95" w:type="dxa"/>
            <w:vAlign w:val="center"/>
          </w:tcPr>
          <w:p>
            <w:pPr>
              <w:spacing w:line="360" w:lineRule="exact"/>
              <w:jc w:val="center"/>
              <w:rPr>
                <w:sz w:val="24"/>
                <w:szCs w:val="24"/>
              </w:rPr>
            </w:pPr>
            <w:r>
              <w:rPr>
                <w:rFonts w:hint="eastAsia"/>
                <w:sz w:val="24"/>
                <w:szCs w:val="24"/>
                <w:lang w:val="en-US"/>
              </w:rPr>
              <w:t>6</w:t>
            </w:r>
          </w:p>
        </w:tc>
        <w:tc>
          <w:tcPr>
            <w:tcW w:w="4847" w:type="dxa"/>
            <w:vAlign w:val="center"/>
          </w:tcPr>
          <w:p>
            <w:pPr>
              <w:tabs>
                <w:tab w:val="left" w:pos="2127"/>
              </w:tabs>
              <w:adjustRightInd w:val="0"/>
              <w:snapToGrid w:val="0"/>
              <w:spacing w:line="360" w:lineRule="exact"/>
              <w:rPr>
                <w:sz w:val="24"/>
                <w:szCs w:val="24"/>
              </w:rPr>
            </w:pPr>
            <w:r>
              <w:rPr>
                <w:rFonts w:hint="eastAsia"/>
                <w:sz w:val="24"/>
                <w:szCs w:val="24"/>
              </w:rPr>
              <w:t>参加本次采购活动前三年内，在经营活动中没有违法违规记录</w:t>
            </w:r>
          </w:p>
        </w:tc>
        <w:tc>
          <w:tcPr>
            <w:tcW w:w="4237" w:type="dxa"/>
          </w:tcPr>
          <w:p>
            <w:pPr>
              <w:tabs>
                <w:tab w:val="left" w:pos="2127"/>
              </w:tabs>
              <w:adjustRightInd w:val="0"/>
              <w:snapToGrid w:val="0"/>
              <w:spacing w:line="360" w:lineRule="exact"/>
              <w:rPr>
                <w:sz w:val="24"/>
                <w:szCs w:val="24"/>
              </w:rPr>
            </w:pPr>
            <w:r>
              <w:rPr>
                <w:rFonts w:hint="eastAsia"/>
                <w:sz w:val="24"/>
                <w:szCs w:val="24"/>
              </w:rPr>
              <w:t>提供参加采购活动前3年内在经营活动中没有重大违法记录的书面声明（格式自拟）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695" w:type="dxa"/>
            <w:vAlign w:val="center"/>
          </w:tcPr>
          <w:p>
            <w:pPr>
              <w:spacing w:line="360" w:lineRule="exact"/>
              <w:jc w:val="center"/>
              <w:rPr>
                <w:sz w:val="24"/>
                <w:szCs w:val="24"/>
              </w:rPr>
            </w:pPr>
            <w:r>
              <w:rPr>
                <w:rFonts w:hint="eastAsia"/>
                <w:sz w:val="24"/>
                <w:szCs w:val="24"/>
                <w:lang w:val="en-US"/>
              </w:rPr>
              <w:t>7</w:t>
            </w:r>
          </w:p>
        </w:tc>
        <w:tc>
          <w:tcPr>
            <w:tcW w:w="4847" w:type="dxa"/>
            <w:vAlign w:val="center"/>
          </w:tcPr>
          <w:p>
            <w:pPr>
              <w:tabs>
                <w:tab w:val="left" w:pos="2127"/>
              </w:tabs>
              <w:adjustRightInd w:val="0"/>
              <w:snapToGrid w:val="0"/>
              <w:spacing w:line="360" w:lineRule="exact"/>
              <w:rPr>
                <w:sz w:val="24"/>
                <w:szCs w:val="24"/>
              </w:rPr>
            </w:pPr>
            <w:r>
              <w:rPr>
                <w:rFonts w:hint="eastAsia"/>
                <w:sz w:val="24"/>
                <w:szCs w:val="24"/>
              </w:rPr>
              <w:t>法律、行政法规规定的其他条件</w:t>
            </w:r>
          </w:p>
        </w:tc>
        <w:tc>
          <w:tcPr>
            <w:tcW w:w="4237" w:type="dxa"/>
            <w:vAlign w:val="center"/>
          </w:tcPr>
          <w:p>
            <w:pPr>
              <w:tabs>
                <w:tab w:val="left" w:pos="2127"/>
              </w:tabs>
              <w:adjustRightInd w:val="0"/>
              <w:snapToGrid w:val="0"/>
              <w:spacing w:line="360" w:lineRule="exact"/>
              <w:rPr>
                <w:sz w:val="24"/>
                <w:szCs w:val="24"/>
              </w:rPr>
            </w:pPr>
            <w:r>
              <w:rPr>
                <w:rFonts w:hint="eastAsia"/>
                <w:sz w:val="24"/>
                <w:szCs w:val="24"/>
                <w:lang w:val="en-US"/>
              </w:rPr>
              <w:t>提</w:t>
            </w:r>
            <w:r>
              <w:rPr>
                <w:rFonts w:hint="eastAsia"/>
                <w:sz w:val="24"/>
                <w:szCs w:val="24"/>
              </w:rPr>
              <w:t>供“信用中国”网站和中国政府采购网未被列入失信被执行人、重大税收违法案件当事人名单、政府采购严重违法失信行为记录名单的网页截图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95" w:type="dxa"/>
            <w:vAlign w:val="center"/>
          </w:tcPr>
          <w:p>
            <w:pPr>
              <w:spacing w:line="360" w:lineRule="exact"/>
              <w:jc w:val="center"/>
              <w:rPr>
                <w:sz w:val="24"/>
                <w:szCs w:val="24"/>
                <w:lang w:val="en-US"/>
              </w:rPr>
            </w:pPr>
            <w:r>
              <w:rPr>
                <w:rFonts w:hint="eastAsia"/>
                <w:sz w:val="24"/>
                <w:szCs w:val="24"/>
                <w:lang w:val="en-US"/>
              </w:rPr>
              <w:t>8</w:t>
            </w:r>
          </w:p>
        </w:tc>
        <w:tc>
          <w:tcPr>
            <w:tcW w:w="4847" w:type="dxa"/>
            <w:vAlign w:val="center"/>
          </w:tcPr>
          <w:p>
            <w:pPr>
              <w:tabs>
                <w:tab w:val="left" w:pos="2127"/>
              </w:tabs>
              <w:adjustRightInd w:val="0"/>
              <w:snapToGrid w:val="0"/>
              <w:spacing w:line="360" w:lineRule="exact"/>
              <w:rPr>
                <w:sz w:val="24"/>
                <w:szCs w:val="24"/>
              </w:rPr>
            </w:pPr>
            <w:r>
              <w:rPr>
                <w:rFonts w:hint="eastAsia"/>
                <w:sz w:val="24"/>
                <w:szCs w:val="24"/>
              </w:rPr>
              <w:t>技术部分和商务部分是否存在重大偏离</w:t>
            </w:r>
          </w:p>
        </w:tc>
        <w:tc>
          <w:tcPr>
            <w:tcW w:w="4237" w:type="dxa"/>
            <w:vAlign w:val="center"/>
          </w:tcPr>
          <w:p>
            <w:pPr>
              <w:tabs>
                <w:tab w:val="left" w:pos="2127"/>
              </w:tabs>
              <w:adjustRightInd w:val="0"/>
              <w:snapToGrid w:val="0"/>
              <w:spacing w:line="360" w:lineRule="exact"/>
              <w:rPr>
                <w:sz w:val="24"/>
                <w:szCs w:val="24"/>
              </w:rPr>
            </w:pPr>
            <w:r>
              <w:rPr>
                <w:rFonts w:hint="eastAsia"/>
                <w:sz w:val="24"/>
                <w:szCs w:val="24"/>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95" w:type="dxa"/>
            <w:vAlign w:val="center"/>
          </w:tcPr>
          <w:p>
            <w:pPr>
              <w:spacing w:line="360" w:lineRule="exact"/>
              <w:jc w:val="center"/>
              <w:rPr>
                <w:sz w:val="24"/>
                <w:szCs w:val="24"/>
                <w:lang w:val="en-US"/>
              </w:rPr>
            </w:pPr>
            <w:r>
              <w:rPr>
                <w:rFonts w:hint="eastAsia"/>
                <w:sz w:val="24"/>
                <w:szCs w:val="24"/>
                <w:lang w:val="en-US"/>
              </w:rPr>
              <w:t>9</w:t>
            </w:r>
          </w:p>
        </w:tc>
        <w:tc>
          <w:tcPr>
            <w:tcW w:w="4847" w:type="dxa"/>
            <w:vAlign w:val="center"/>
          </w:tcPr>
          <w:p>
            <w:pPr>
              <w:tabs>
                <w:tab w:val="left" w:pos="2127"/>
              </w:tabs>
              <w:adjustRightInd w:val="0"/>
              <w:snapToGrid w:val="0"/>
              <w:spacing w:line="360" w:lineRule="exact"/>
              <w:rPr>
                <w:sz w:val="24"/>
                <w:szCs w:val="24"/>
              </w:rPr>
            </w:pPr>
            <w:r>
              <w:rPr>
                <w:rFonts w:hint="eastAsia"/>
                <w:sz w:val="24"/>
                <w:szCs w:val="24"/>
              </w:rPr>
              <w:t>投标文件是否存在未实质性响应招标文件</w:t>
            </w:r>
          </w:p>
        </w:tc>
        <w:tc>
          <w:tcPr>
            <w:tcW w:w="4237" w:type="dxa"/>
            <w:vAlign w:val="center"/>
          </w:tcPr>
          <w:p>
            <w:pPr>
              <w:tabs>
                <w:tab w:val="left" w:pos="2127"/>
              </w:tabs>
              <w:adjustRightInd w:val="0"/>
              <w:snapToGrid w:val="0"/>
              <w:spacing w:line="360" w:lineRule="exact"/>
              <w:rPr>
                <w:sz w:val="24"/>
                <w:szCs w:val="24"/>
              </w:rPr>
            </w:pPr>
            <w:r>
              <w:rPr>
                <w:rFonts w:hint="eastAsia"/>
                <w:sz w:val="24"/>
                <w:szCs w:val="24"/>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779" w:type="dxa"/>
            <w:gridSpan w:val="3"/>
            <w:vAlign w:val="center"/>
          </w:tcPr>
          <w:p>
            <w:pPr>
              <w:tabs>
                <w:tab w:val="left" w:pos="2127"/>
              </w:tabs>
              <w:adjustRightInd w:val="0"/>
              <w:snapToGrid w:val="0"/>
              <w:spacing w:line="360" w:lineRule="exact"/>
              <w:jc w:val="center"/>
              <w:rPr>
                <w:color w:val="000000"/>
                <w:sz w:val="24"/>
                <w:szCs w:val="24"/>
              </w:rPr>
            </w:pPr>
            <w:r>
              <w:rPr>
                <w:rFonts w:hint="eastAsia"/>
                <w:b/>
                <w:color w:val="000000"/>
                <w:sz w:val="24"/>
                <w:szCs w:val="24"/>
              </w:rPr>
              <w:t>只有通过以上评审的，方可进入下一阶段评审。否则视为未通过初审评审，为无效标。</w:t>
            </w:r>
          </w:p>
        </w:tc>
      </w:tr>
    </w:tbl>
    <w:p>
      <w:pPr>
        <w:rPr>
          <w:sz w:val="21"/>
        </w:rPr>
      </w:pPr>
      <w:r>
        <w:rPr>
          <w:rFonts w:hint="eastAsia"/>
          <w:spacing w:val="-4"/>
          <w:sz w:val="21"/>
          <w:lang w:val="en-US"/>
        </w:rPr>
        <w:br w:type="page"/>
      </w:r>
    </w:p>
    <w:p>
      <w:pPr>
        <w:pStyle w:val="34"/>
        <w:tabs>
          <w:tab w:val="left" w:pos="720"/>
        </w:tabs>
        <w:spacing w:line="499" w:lineRule="auto"/>
        <w:ind w:left="0" w:right="399" w:firstLine="480" w:firstLineChars="200"/>
        <w:jc w:val="both"/>
        <w:rPr>
          <w:rFonts w:hint="eastAsia"/>
          <w:sz w:val="24"/>
          <w:szCs w:val="24"/>
          <w:lang w:val="en-US"/>
        </w:rPr>
      </w:pPr>
      <w:r>
        <w:rPr>
          <w:rFonts w:hint="eastAsia"/>
          <w:sz w:val="24"/>
          <w:szCs w:val="24"/>
          <w:lang w:val="en-US"/>
        </w:rPr>
        <w:t>4.2本办法计分实行百分制，满分 100 分，具体评标标准如下</w:t>
      </w:r>
    </w:p>
    <w:p>
      <w:pPr>
        <w:pStyle w:val="34"/>
        <w:tabs>
          <w:tab w:val="left" w:pos="720"/>
        </w:tabs>
        <w:spacing w:line="499" w:lineRule="auto"/>
        <w:ind w:left="0" w:right="399" w:firstLine="480" w:firstLineChars="200"/>
        <w:jc w:val="both"/>
        <w:rPr>
          <w:rFonts w:hint="eastAsia"/>
          <w:sz w:val="24"/>
          <w:szCs w:val="24"/>
          <w:lang w:val="en-US"/>
        </w:rPr>
      </w:pPr>
      <w:r>
        <w:rPr>
          <w:rFonts w:hint="eastAsia"/>
          <w:sz w:val="24"/>
          <w:szCs w:val="24"/>
          <w:lang w:val="en-US"/>
        </w:rPr>
        <w:t>本次招标的评标方法采用综合评分法，总分值为100分，评审因素及各比重如下：价格分值占总分值的比重为20%（权重），综合分占80%（权重）。</w:t>
      </w:r>
    </w:p>
    <w:p>
      <w:pPr>
        <w:pStyle w:val="34"/>
        <w:tabs>
          <w:tab w:val="left" w:pos="720"/>
        </w:tabs>
        <w:spacing w:line="499" w:lineRule="auto"/>
        <w:ind w:left="0" w:right="399" w:firstLine="480" w:firstLineChars="200"/>
        <w:jc w:val="both"/>
        <w:rPr>
          <w:rFonts w:hint="eastAsia"/>
          <w:sz w:val="24"/>
          <w:szCs w:val="24"/>
          <w:lang w:val="en-US"/>
        </w:rPr>
      </w:pPr>
      <w:r>
        <w:rPr>
          <w:rFonts w:hint="eastAsia"/>
          <w:sz w:val="24"/>
          <w:szCs w:val="24"/>
          <w:lang w:val="en-US"/>
        </w:rPr>
        <w:t>分析总报价及各个分项报价是否合理，报价范围是否完整，有否重大错漏项，特别说明：如果某投标方的投标报价中有漏项，则该投标方的投标价格评分时需加上漏项部分，漏项部分的价格按所有投标方中相应部分所报的最高价格计算，如果该投标方中标，则其中标价不能调整，即漏项部分的价格需该投标方自行消化（如构成未实质性响应招标文件要求的，将不得中标）。</w:t>
      </w:r>
    </w:p>
    <w:p>
      <w:pPr>
        <w:pStyle w:val="34"/>
        <w:tabs>
          <w:tab w:val="left" w:pos="720"/>
        </w:tabs>
        <w:spacing w:line="499" w:lineRule="auto"/>
        <w:ind w:left="0" w:right="399" w:firstLine="480" w:firstLineChars="200"/>
        <w:jc w:val="both"/>
        <w:rPr>
          <w:rFonts w:hint="eastAsia"/>
          <w:sz w:val="24"/>
          <w:szCs w:val="24"/>
          <w:lang w:val="en-US"/>
        </w:rPr>
      </w:pPr>
    </w:p>
    <w:p>
      <w:pPr>
        <w:widowControl/>
        <w:autoSpaceDE/>
        <w:autoSpaceDN/>
        <w:spacing w:before="156" w:after="156"/>
        <w:rPr>
          <w:rFonts w:cs="Times New Roman"/>
          <w:b/>
          <w:bCs/>
          <w:color w:val="000000"/>
          <w:sz w:val="24"/>
          <w:szCs w:val="21"/>
          <w:lang w:val="en-US" w:bidi="ar-SA"/>
        </w:rPr>
      </w:pPr>
      <w:r>
        <w:rPr>
          <w:rFonts w:hint="eastAsia" w:cs="Times New Roman"/>
          <w:b/>
          <w:bCs/>
          <w:color w:val="000000"/>
          <w:sz w:val="24"/>
          <w:szCs w:val="21"/>
          <w:lang w:val="en-US" w:bidi="ar-SA"/>
        </w:rPr>
        <w:t>（一）价格：（价格权值2</w:t>
      </w:r>
      <w:r>
        <w:rPr>
          <w:rFonts w:cs="Times New Roman"/>
          <w:b/>
          <w:bCs/>
          <w:color w:val="000000"/>
          <w:sz w:val="24"/>
          <w:szCs w:val="21"/>
          <w:lang w:val="en-US" w:bidi="ar-SA"/>
        </w:rPr>
        <w:t>0</w:t>
      </w:r>
      <w:r>
        <w:rPr>
          <w:rFonts w:hint="eastAsia" w:cs="Times New Roman"/>
          <w:b/>
          <w:bCs/>
          <w:color w:val="000000"/>
          <w:sz w:val="24"/>
          <w:szCs w:val="21"/>
          <w:lang w:val="en-US" w:bidi="ar-SA"/>
        </w:rPr>
        <w:t>分）</w:t>
      </w:r>
    </w:p>
    <w:p>
      <w:pPr>
        <w:widowControl/>
        <w:adjustRightInd w:val="0"/>
        <w:spacing w:line="360" w:lineRule="auto"/>
        <w:ind w:firstLine="482"/>
        <w:jc w:val="both"/>
        <w:rPr>
          <w:color w:val="000000"/>
          <w:sz w:val="24"/>
          <w:szCs w:val="24"/>
          <w:lang w:val="en-US" w:bidi="ar-SA"/>
        </w:rPr>
      </w:pPr>
      <w:r>
        <w:rPr>
          <w:rFonts w:hint="eastAsia"/>
          <w:color w:val="000000"/>
          <w:sz w:val="24"/>
          <w:szCs w:val="24"/>
          <w:lang w:val="en-US" w:bidi="ar-SA"/>
        </w:rPr>
        <w:t>以通过评标初审同时实质性响应招标文件要求且报价最低的投标报价为评标基准价（须未超过采购预算价），其价格分为满分20分。不实质性响应招标文件要求的投标报价不进行价格计算，也不得标。其他投标人的价格分统一按照下列公式计算：</w:t>
      </w:r>
    </w:p>
    <w:p>
      <w:pPr>
        <w:widowControl/>
        <w:adjustRightInd w:val="0"/>
        <w:spacing w:line="360" w:lineRule="auto"/>
        <w:ind w:firstLine="482"/>
        <w:jc w:val="both"/>
        <w:rPr>
          <w:rFonts w:hint="eastAsia"/>
          <w:color w:val="000000"/>
          <w:sz w:val="24"/>
          <w:szCs w:val="24"/>
          <w:lang w:val="en-US" w:bidi="ar-SA"/>
        </w:rPr>
      </w:pPr>
      <w:r>
        <w:rPr>
          <w:rFonts w:hint="eastAsia"/>
          <w:color w:val="000000"/>
          <w:sz w:val="24"/>
          <w:szCs w:val="24"/>
          <w:lang w:val="en-US" w:bidi="ar-SA"/>
        </w:rPr>
        <w:t>投标报价得分=（评标基准价/投标报价）X价格权值X100（价格权值为20%）</w:t>
      </w:r>
    </w:p>
    <w:p>
      <w:pPr>
        <w:widowControl/>
        <w:adjustRightInd w:val="0"/>
        <w:spacing w:line="360" w:lineRule="auto"/>
        <w:ind w:firstLine="482"/>
        <w:jc w:val="both"/>
        <w:rPr>
          <w:rFonts w:hint="eastAsia" w:ascii="宋体" w:hAnsi="宋体" w:eastAsia="宋体" w:cs="宋体"/>
          <w:color w:val="000000"/>
          <w:sz w:val="24"/>
          <w:szCs w:val="24"/>
          <w:lang w:val="en-US" w:bidi="ar-SA"/>
        </w:rPr>
      </w:pPr>
      <w:r>
        <w:rPr>
          <w:rFonts w:hint="eastAsia" w:ascii="宋体" w:hAnsi="宋体" w:eastAsia="宋体" w:cs="宋体"/>
          <w:b/>
          <w:bCs/>
          <w:color w:val="0000FF"/>
          <w:sz w:val="24"/>
          <w:szCs w:val="24"/>
          <w:highlight w:val="yellow"/>
          <w:lang w:val="en-US" w:eastAsia="zh-CN" w:bidi="ar-SA"/>
        </w:rPr>
        <w:t>评标委员会认为投标人的报价明显低于其他通过符合性审查投标人的报价，有可能影响产品质量或者不能诚信履约的，应当要求其在评标现场合理的时间内提供书面说明，必要时提交相关证明材料；（提交的证明材料包含但不限于制造原 材料购买或制作成本、运输费、人工成本、 仓储费、调试费、税金等，并提供公司历年财务报表，盈亏情况，债务抵押情况等足以说明的书面报告）投标人不能证明其报价合理性的，评标委员会应当将其作为无效投标处理。</w:t>
      </w:r>
    </w:p>
    <w:p>
      <w:pPr>
        <w:widowControl/>
        <w:autoSpaceDE/>
        <w:autoSpaceDN/>
        <w:spacing w:before="156" w:after="156"/>
        <w:rPr>
          <w:rFonts w:cs="Times New Roman"/>
          <w:sz w:val="24"/>
          <w:szCs w:val="24"/>
          <w:lang w:val="en-US" w:bidi="ar-SA"/>
        </w:rPr>
      </w:pPr>
    </w:p>
    <w:p>
      <w:pPr>
        <w:rPr>
          <w:rFonts w:hint="eastAsia" w:cs="Times New Roman"/>
          <w:b/>
          <w:bCs/>
          <w:sz w:val="24"/>
          <w:szCs w:val="24"/>
          <w:lang w:val="en-US" w:bidi="ar-SA"/>
        </w:rPr>
      </w:pPr>
      <w:r>
        <w:rPr>
          <w:rFonts w:hint="eastAsia" w:cs="Times New Roman"/>
          <w:b/>
          <w:bCs/>
          <w:sz w:val="24"/>
          <w:szCs w:val="24"/>
          <w:lang w:val="en-US" w:bidi="ar-SA"/>
        </w:rPr>
        <w:br w:type="page"/>
      </w:r>
    </w:p>
    <w:p>
      <w:pPr>
        <w:widowControl/>
        <w:autoSpaceDE/>
        <w:autoSpaceDN/>
        <w:spacing w:before="156" w:after="156"/>
        <w:rPr>
          <w:rFonts w:cs="Times New Roman"/>
          <w:b/>
          <w:bCs/>
          <w:sz w:val="24"/>
          <w:szCs w:val="24"/>
          <w:lang w:val="en-US" w:bidi="ar-SA"/>
        </w:rPr>
      </w:pPr>
      <w:r>
        <w:rPr>
          <w:rFonts w:hint="eastAsia" w:cs="Times New Roman"/>
          <w:b/>
          <w:bCs/>
          <w:sz w:val="24"/>
          <w:szCs w:val="24"/>
          <w:lang w:val="en-US" w:bidi="ar-SA"/>
        </w:rPr>
        <w:t>（二）综合评分：（80分）</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1679"/>
        <w:gridCol w:w="1171"/>
        <w:gridCol w:w="6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shd w:val="clear" w:color="auto" w:fill="auto"/>
            <w:vAlign w:val="center"/>
          </w:tcPr>
          <w:p>
            <w:pPr>
              <w:widowControl/>
              <w:autoSpaceDE/>
              <w:autoSpaceDN/>
              <w:spacing w:before="156" w:after="156"/>
              <w:jc w:val="center"/>
              <w:rPr>
                <w:rFonts w:cs="Times New Roman"/>
                <w:b/>
                <w:sz w:val="24"/>
                <w:szCs w:val="24"/>
                <w:lang w:val="en-US" w:bidi="ar-SA"/>
              </w:rPr>
            </w:pPr>
            <w:r>
              <w:rPr>
                <w:rFonts w:hint="eastAsia" w:cs="Times New Roman"/>
                <w:b/>
                <w:sz w:val="24"/>
                <w:szCs w:val="24"/>
                <w:lang w:val="en-US" w:bidi="ar-SA"/>
              </w:rPr>
              <w:t>序号</w:t>
            </w:r>
          </w:p>
        </w:tc>
        <w:tc>
          <w:tcPr>
            <w:tcW w:w="832" w:type="pct"/>
            <w:shd w:val="clear" w:color="auto" w:fill="auto"/>
            <w:vAlign w:val="center"/>
          </w:tcPr>
          <w:p>
            <w:pPr>
              <w:widowControl/>
              <w:autoSpaceDE/>
              <w:autoSpaceDN/>
              <w:spacing w:before="156" w:after="156"/>
              <w:jc w:val="center"/>
              <w:rPr>
                <w:rFonts w:cs="Times New Roman"/>
                <w:b/>
                <w:sz w:val="24"/>
                <w:szCs w:val="24"/>
                <w:lang w:val="en-US" w:bidi="ar-SA"/>
              </w:rPr>
            </w:pPr>
            <w:r>
              <w:rPr>
                <w:rFonts w:hint="eastAsia" w:cs="Times New Roman"/>
                <w:b/>
                <w:sz w:val="24"/>
                <w:szCs w:val="24"/>
                <w:lang w:val="en-US" w:bidi="ar-SA"/>
              </w:rPr>
              <w:t>评分项</w:t>
            </w:r>
          </w:p>
        </w:tc>
        <w:tc>
          <w:tcPr>
            <w:tcW w:w="580" w:type="pct"/>
            <w:shd w:val="clear" w:color="auto" w:fill="auto"/>
            <w:vAlign w:val="center"/>
          </w:tcPr>
          <w:p>
            <w:pPr>
              <w:widowControl/>
              <w:autoSpaceDE/>
              <w:autoSpaceDN/>
              <w:spacing w:before="156" w:after="156"/>
              <w:jc w:val="center"/>
              <w:rPr>
                <w:rFonts w:cs="Times New Roman"/>
                <w:b/>
                <w:sz w:val="24"/>
                <w:szCs w:val="24"/>
                <w:lang w:val="en-US" w:bidi="ar-SA"/>
              </w:rPr>
            </w:pPr>
            <w:r>
              <w:rPr>
                <w:rFonts w:hint="eastAsia" w:cs="Times New Roman"/>
                <w:b/>
                <w:sz w:val="24"/>
                <w:szCs w:val="24"/>
                <w:lang w:val="en-US" w:bidi="ar-SA"/>
              </w:rPr>
              <w:t>分值</w:t>
            </w:r>
          </w:p>
        </w:tc>
        <w:tc>
          <w:tcPr>
            <w:tcW w:w="3107" w:type="pct"/>
            <w:shd w:val="clear" w:color="auto" w:fill="auto"/>
          </w:tcPr>
          <w:p>
            <w:pPr>
              <w:widowControl/>
              <w:autoSpaceDE/>
              <w:autoSpaceDN/>
              <w:spacing w:before="156" w:after="156"/>
              <w:jc w:val="center"/>
              <w:rPr>
                <w:rFonts w:cs="Times New Roman"/>
                <w:b/>
                <w:sz w:val="24"/>
                <w:szCs w:val="24"/>
                <w:lang w:val="en-US" w:bidi="ar-SA"/>
              </w:rPr>
            </w:pPr>
            <w:r>
              <w:rPr>
                <w:rFonts w:hint="eastAsia" w:cs="Times New Roman"/>
                <w:b/>
                <w:sz w:val="24"/>
                <w:szCs w:val="24"/>
                <w:lang w:val="en-US" w:bidi="ar-SA"/>
              </w:rPr>
              <w:t>评分内容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shd w:val="clear" w:color="auto" w:fill="auto"/>
            <w:vAlign w:val="center"/>
          </w:tcPr>
          <w:p>
            <w:pPr>
              <w:widowControl/>
              <w:numPr>
                <w:ilvl w:val="0"/>
                <w:numId w:val="4"/>
              </w:numPr>
              <w:autoSpaceDE/>
              <w:autoSpaceDN/>
              <w:spacing w:before="156" w:after="156"/>
              <w:jc w:val="center"/>
              <w:rPr>
                <w:rFonts w:cs="Times New Roman"/>
                <w:sz w:val="24"/>
                <w:szCs w:val="24"/>
                <w:lang w:val="en-US" w:bidi="ar-SA"/>
              </w:rPr>
            </w:pPr>
          </w:p>
        </w:tc>
        <w:tc>
          <w:tcPr>
            <w:tcW w:w="832" w:type="pct"/>
            <w:vMerge w:val="restart"/>
            <w:shd w:val="clear" w:color="auto" w:fill="auto"/>
            <w:vAlign w:val="center"/>
          </w:tcPr>
          <w:p>
            <w:pPr>
              <w:widowControl/>
              <w:autoSpaceDE/>
              <w:autoSpaceDN/>
              <w:spacing w:before="156" w:after="156"/>
              <w:jc w:val="center"/>
              <w:rPr>
                <w:rFonts w:cs="Times New Roman"/>
                <w:sz w:val="24"/>
                <w:szCs w:val="24"/>
                <w:lang w:val="en-US" w:bidi="ar-SA"/>
              </w:rPr>
            </w:pPr>
            <w:r>
              <w:rPr>
                <w:rFonts w:hint="eastAsia" w:cs="Times New Roman"/>
                <w:sz w:val="24"/>
                <w:szCs w:val="24"/>
                <w:lang w:val="en-US" w:bidi="ar-SA"/>
              </w:rPr>
              <w:t>企业综合实力及质量管理体系</w:t>
            </w:r>
          </w:p>
        </w:tc>
        <w:tc>
          <w:tcPr>
            <w:tcW w:w="580" w:type="pct"/>
            <w:shd w:val="clear" w:color="auto" w:fill="auto"/>
            <w:vAlign w:val="center"/>
          </w:tcPr>
          <w:p>
            <w:pPr>
              <w:widowControl/>
              <w:autoSpaceDE/>
              <w:autoSpaceDN/>
              <w:spacing w:before="156" w:after="156" w:line="400" w:lineRule="exact"/>
              <w:jc w:val="center"/>
              <w:rPr>
                <w:rFonts w:hint="eastAsia" w:eastAsia="宋体" w:cs="Times New Roman"/>
                <w:sz w:val="24"/>
                <w:szCs w:val="24"/>
                <w:lang w:val="en-US" w:eastAsia="zh-CN" w:bidi="ar-SA"/>
              </w:rPr>
            </w:pPr>
            <w:r>
              <w:rPr>
                <w:rFonts w:hint="eastAsia" w:cs="Times New Roman"/>
                <w:sz w:val="24"/>
                <w:szCs w:val="24"/>
                <w:lang w:val="en-US" w:eastAsia="zh-CN" w:bidi="ar-SA"/>
              </w:rPr>
              <w:t>3</w:t>
            </w:r>
          </w:p>
        </w:tc>
        <w:tc>
          <w:tcPr>
            <w:tcW w:w="3107" w:type="pct"/>
            <w:shd w:val="clear" w:color="auto" w:fill="auto"/>
            <w:vAlign w:val="center"/>
          </w:tcPr>
          <w:p>
            <w:pPr>
              <w:widowControl/>
              <w:autoSpaceDE/>
              <w:autoSpaceDN/>
              <w:spacing w:before="156" w:after="156"/>
              <w:rPr>
                <w:rFonts w:cs="Times New Roman"/>
                <w:sz w:val="24"/>
                <w:szCs w:val="24"/>
                <w:lang w:val="en-US" w:bidi="ar-SA"/>
              </w:rPr>
            </w:pPr>
            <w:r>
              <w:rPr>
                <w:rFonts w:hint="eastAsia" w:cs="Times New Roman"/>
                <w:color w:val="000000"/>
                <w:sz w:val="24"/>
                <w:szCs w:val="24"/>
                <w:lang w:val="en-US" w:bidi="ar-SA"/>
              </w:rPr>
              <w:t>投标人具有CMMI认证证书，5级得</w:t>
            </w:r>
            <w:r>
              <w:rPr>
                <w:rFonts w:hint="eastAsia" w:cs="Times New Roman"/>
                <w:color w:val="000000"/>
                <w:sz w:val="24"/>
                <w:szCs w:val="24"/>
                <w:lang w:val="en-US" w:eastAsia="zh-CN" w:bidi="ar-SA"/>
              </w:rPr>
              <w:t>3</w:t>
            </w:r>
            <w:r>
              <w:rPr>
                <w:rFonts w:hint="eastAsia" w:cs="Times New Roman"/>
                <w:color w:val="000000"/>
                <w:sz w:val="24"/>
                <w:szCs w:val="24"/>
                <w:lang w:val="en-US" w:bidi="ar-SA"/>
              </w:rPr>
              <w:t>分，4级得1分，其余不得分。</w:t>
            </w:r>
            <w:r>
              <w:rPr>
                <w:rFonts w:hint="eastAsia" w:cs="Times New Roman"/>
                <w:sz w:val="24"/>
                <w:szCs w:val="24"/>
                <w:lang w:val="en-US" w:bidi="ar-SA"/>
              </w:rPr>
              <w:t>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shd w:val="clear" w:color="auto" w:fill="auto"/>
            <w:vAlign w:val="center"/>
          </w:tcPr>
          <w:p>
            <w:pPr>
              <w:widowControl/>
              <w:numPr>
                <w:ilvl w:val="0"/>
                <w:numId w:val="4"/>
              </w:numPr>
              <w:autoSpaceDE/>
              <w:autoSpaceDN/>
              <w:spacing w:before="156" w:after="156"/>
              <w:ind w:left="720" w:leftChars="0" w:hanging="720" w:firstLineChars="0"/>
              <w:jc w:val="center"/>
              <w:rPr>
                <w:rFonts w:cs="Times New Roman"/>
                <w:sz w:val="24"/>
                <w:szCs w:val="24"/>
                <w:lang w:val="en-US" w:bidi="ar-SA"/>
              </w:rPr>
            </w:pPr>
          </w:p>
        </w:tc>
        <w:tc>
          <w:tcPr>
            <w:tcW w:w="832" w:type="pct"/>
            <w:vMerge w:val="continue"/>
            <w:shd w:val="clear" w:color="auto" w:fill="auto"/>
            <w:vAlign w:val="center"/>
          </w:tcPr>
          <w:p>
            <w:pPr>
              <w:widowControl/>
              <w:autoSpaceDE/>
              <w:autoSpaceDN/>
              <w:spacing w:before="156" w:after="156"/>
              <w:rPr>
                <w:rFonts w:cs="Times New Roman"/>
                <w:sz w:val="24"/>
                <w:szCs w:val="24"/>
                <w:lang w:val="en-US" w:bidi="ar-SA"/>
              </w:rPr>
            </w:pPr>
          </w:p>
        </w:tc>
        <w:tc>
          <w:tcPr>
            <w:tcW w:w="580" w:type="pct"/>
            <w:shd w:val="clear" w:color="auto" w:fill="auto"/>
            <w:vAlign w:val="center"/>
          </w:tcPr>
          <w:p>
            <w:pPr>
              <w:widowControl/>
              <w:autoSpaceDE/>
              <w:autoSpaceDN/>
              <w:spacing w:before="156" w:after="156" w:line="400" w:lineRule="exact"/>
              <w:jc w:val="center"/>
              <w:rPr>
                <w:rFonts w:cs="Times New Roman"/>
                <w:sz w:val="24"/>
                <w:szCs w:val="24"/>
                <w:lang w:val="en-US" w:bidi="ar-SA"/>
              </w:rPr>
            </w:pPr>
            <w:r>
              <w:rPr>
                <w:rFonts w:hint="eastAsia" w:cs="Times New Roman"/>
                <w:sz w:val="24"/>
                <w:szCs w:val="24"/>
                <w:lang w:val="en-US" w:bidi="ar-SA"/>
              </w:rPr>
              <w:t>6</w:t>
            </w:r>
          </w:p>
        </w:tc>
        <w:tc>
          <w:tcPr>
            <w:tcW w:w="3107" w:type="pct"/>
            <w:shd w:val="clear" w:color="auto" w:fill="auto"/>
            <w:vAlign w:val="center"/>
          </w:tcPr>
          <w:p>
            <w:pPr>
              <w:widowControl/>
              <w:autoSpaceDE/>
              <w:autoSpaceDN/>
              <w:spacing w:before="156" w:after="156"/>
              <w:rPr>
                <w:rFonts w:cs="Times New Roman"/>
                <w:color w:val="000000"/>
                <w:sz w:val="24"/>
                <w:szCs w:val="24"/>
                <w:lang w:val="en-US" w:bidi="ar-SA"/>
              </w:rPr>
            </w:pPr>
            <w:r>
              <w:rPr>
                <w:rFonts w:hint="eastAsia"/>
                <w:sz w:val="24"/>
                <w:szCs w:val="24"/>
                <w:lang w:val="en-US" w:bidi="ar-SA"/>
              </w:rPr>
              <w:t>投标人具有有效期内ISO9001、ISO14001和ISO45001管理体系认证证书，且认证范围为医疗行业应用软件的（以证书认证范围包括“医疗卫生”或“医疗行业”等关键字为准）。</w:t>
            </w:r>
            <w:r>
              <w:rPr>
                <w:rFonts w:hint="eastAsia"/>
                <w:color w:val="000000"/>
                <w:sz w:val="24"/>
                <w:szCs w:val="24"/>
                <w:lang w:val="en-US" w:bidi="ar"/>
              </w:rPr>
              <w:t>以提供证书复印件为准，</w:t>
            </w:r>
            <w:r>
              <w:rPr>
                <w:rFonts w:hint="eastAsia"/>
                <w:sz w:val="24"/>
                <w:szCs w:val="24"/>
                <w:lang w:val="en-US" w:bidi="ar-SA"/>
              </w:rPr>
              <w:t>每具有一个证书得2分，满分6分。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shd w:val="clear" w:color="auto" w:fill="auto"/>
            <w:vAlign w:val="center"/>
          </w:tcPr>
          <w:p>
            <w:pPr>
              <w:widowControl/>
              <w:numPr>
                <w:ilvl w:val="0"/>
                <w:numId w:val="4"/>
              </w:numPr>
              <w:autoSpaceDE/>
              <w:autoSpaceDN/>
              <w:spacing w:before="156" w:after="156"/>
              <w:ind w:left="720" w:leftChars="0" w:hanging="720" w:firstLineChars="0"/>
              <w:jc w:val="center"/>
              <w:rPr>
                <w:rFonts w:cs="Times New Roman"/>
                <w:sz w:val="24"/>
                <w:szCs w:val="24"/>
                <w:lang w:val="en-US" w:bidi="ar-SA"/>
              </w:rPr>
            </w:pPr>
          </w:p>
        </w:tc>
        <w:tc>
          <w:tcPr>
            <w:tcW w:w="832" w:type="pct"/>
            <w:vMerge w:val="continue"/>
            <w:shd w:val="clear" w:color="auto" w:fill="auto"/>
            <w:vAlign w:val="center"/>
          </w:tcPr>
          <w:p>
            <w:pPr>
              <w:widowControl/>
              <w:autoSpaceDE/>
              <w:autoSpaceDN/>
              <w:spacing w:before="156" w:after="156"/>
              <w:rPr>
                <w:rFonts w:cs="Times New Roman"/>
                <w:sz w:val="24"/>
                <w:szCs w:val="24"/>
                <w:lang w:val="en-US" w:bidi="ar-SA"/>
              </w:rPr>
            </w:pPr>
          </w:p>
        </w:tc>
        <w:tc>
          <w:tcPr>
            <w:tcW w:w="580" w:type="pct"/>
            <w:shd w:val="clear" w:color="auto" w:fill="auto"/>
            <w:vAlign w:val="center"/>
          </w:tcPr>
          <w:p>
            <w:pPr>
              <w:widowControl/>
              <w:autoSpaceDE/>
              <w:autoSpaceDN/>
              <w:spacing w:before="156" w:after="156" w:line="400" w:lineRule="exact"/>
              <w:jc w:val="center"/>
              <w:rPr>
                <w:rFonts w:hint="eastAsia" w:eastAsia="宋体" w:cs="Times New Roman"/>
                <w:sz w:val="24"/>
                <w:szCs w:val="24"/>
                <w:lang w:val="en-US" w:eastAsia="zh-CN" w:bidi="ar-SA"/>
              </w:rPr>
            </w:pPr>
            <w:r>
              <w:rPr>
                <w:rFonts w:hint="eastAsia" w:cs="Times New Roman"/>
                <w:sz w:val="24"/>
                <w:szCs w:val="24"/>
                <w:lang w:val="en-US" w:eastAsia="zh-CN" w:bidi="ar-SA"/>
              </w:rPr>
              <w:t>4</w:t>
            </w:r>
          </w:p>
        </w:tc>
        <w:tc>
          <w:tcPr>
            <w:tcW w:w="3107" w:type="pct"/>
            <w:shd w:val="clear" w:color="auto" w:fill="auto"/>
            <w:vAlign w:val="center"/>
          </w:tcPr>
          <w:p>
            <w:pPr>
              <w:widowControl/>
              <w:autoSpaceDE/>
              <w:autoSpaceDN/>
              <w:spacing w:before="156" w:after="156"/>
              <w:rPr>
                <w:sz w:val="24"/>
                <w:szCs w:val="24"/>
                <w:lang w:val="en-US" w:bidi="ar-SA"/>
              </w:rPr>
            </w:pPr>
            <w:r>
              <w:rPr>
                <w:rFonts w:hint="eastAsia" w:cs="Times New Roman"/>
                <w:bCs/>
                <w:sz w:val="24"/>
                <w:szCs w:val="24"/>
                <w:lang w:val="en-US" w:bidi="ar-SA"/>
              </w:rPr>
              <w:t>投标人具有互联网医疗服务平台信息系统安全等级保护备案三级证明的得</w:t>
            </w:r>
            <w:r>
              <w:rPr>
                <w:rFonts w:hint="eastAsia" w:cs="Times New Roman"/>
                <w:bCs/>
                <w:sz w:val="24"/>
                <w:szCs w:val="24"/>
                <w:lang w:val="en-US" w:eastAsia="zh-CN" w:bidi="ar-SA"/>
              </w:rPr>
              <w:t>4</w:t>
            </w:r>
            <w:r>
              <w:rPr>
                <w:rFonts w:hint="eastAsia" w:cs="Times New Roman"/>
                <w:bCs/>
                <w:sz w:val="24"/>
                <w:szCs w:val="24"/>
                <w:lang w:val="en-US" w:bidi="ar-SA"/>
              </w:rPr>
              <w:t>分</w:t>
            </w:r>
            <w:r>
              <w:rPr>
                <w:rFonts w:hint="eastAsia"/>
                <w:sz w:val="24"/>
                <w:szCs w:val="24"/>
                <w:lang w:val="en-US" w:bidi="ar-SA"/>
              </w:rPr>
              <w:t>，提供证书复印件,否则不得分。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shd w:val="clear" w:color="auto" w:fill="auto"/>
            <w:vAlign w:val="center"/>
          </w:tcPr>
          <w:p>
            <w:pPr>
              <w:widowControl/>
              <w:numPr>
                <w:ilvl w:val="0"/>
                <w:numId w:val="4"/>
              </w:numPr>
              <w:autoSpaceDE/>
              <w:autoSpaceDN/>
              <w:spacing w:before="156" w:after="156"/>
              <w:ind w:left="720" w:leftChars="0" w:hanging="720" w:firstLineChars="0"/>
              <w:jc w:val="center"/>
              <w:rPr>
                <w:rFonts w:cs="Times New Roman"/>
                <w:sz w:val="24"/>
                <w:szCs w:val="24"/>
                <w:lang w:val="en-US" w:bidi="ar-SA"/>
              </w:rPr>
            </w:pPr>
          </w:p>
        </w:tc>
        <w:tc>
          <w:tcPr>
            <w:tcW w:w="832" w:type="pct"/>
            <w:vMerge w:val="restart"/>
            <w:shd w:val="clear" w:color="auto" w:fill="auto"/>
            <w:vAlign w:val="center"/>
          </w:tcPr>
          <w:p>
            <w:pPr>
              <w:widowControl/>
              <w:autoSpaceDE/>
              <w:autoSpaceDN/>
              <w:spacing w:before="156" w:after="156"/>
              <w:rPr>
                <w:rFonts w:cs="Times New Roman"/>
                <w:sz w:val="24"/>
                <w:szCs w:val="24"/>
                <w:lang w:val="en-US" w:bidi="ar-SA"/>
              </w:rPr>
            </w:pPr>
            <w:r>
              <w:rPr>
                <w:rFonts w:hint="eastAsia" w:cs="Times New Roman"/>
                <w:sz w:val="24"/>
                <w:szCs w:val="24"/>
                <w:lang w:val="en-US" w:bidi="ar-SA"/>
              </w:rPr>
              <w:t>类似项目业绩</w:t>
            </w:r>
          </w:p>
        </w:tc>
        <w:tc>
          <w:tcPr>
            <w:tcW w:w="580" w:type="pct"/>
            <w:shd w:val="clear" w:color="auto" w:fill="auto"/>
            <w:vAlign w:val="center"/>
          </w:tcPr>
          <w:p>
            <w:pPr>
              <w:widowControl/>
              <w:autoSpaceDE/>
              <w:autoSpaceDN/>
              <w:spacing w:before="156" w:after="156"/>
              <w:jc w:val="center"/>
              <w:rPr>
                <w:rFonts w:cs="Times New Roman"/>
                <w:sz w:val="24"/>
                <w:szCs w:val="24"/>
                <w:lang w:val="en-US" w:bidi="ar-SA"/>
              </w:rPr>
            </w:pPr>
            <w:r>
              <w:rPr>
                <w:rFonts w:hint="eastAsia" w:cs="Times New Roman"/>
                <w:sz w:val="24"/>
                <w:szCs w:val="24"/>
                <w:lang w:val="en-US" w:bidi="ar-SA"/>
              </w:rPr>
              <w:t>6</w:t>
            </w:r>
          </w:p>
        </w:tc>
        <w:tc>
          <w:tcPr>
            <w:tcW w:w="3107" w:type="pct"/>
            <w:shd w:val="clear" w:color="auto" w:fill="auto"/>
          </w:tcPr>
          <w:p>
            <w:pPr>
              <w:widowControl/>
              <w:autoSpaceDE/>
              <w:autoSpaceDN/>
              <w:spacing w:before="156" w:after="156"/>
              <w:rPr>
                <w:rFonts w:cs="Times New Roman"/>
                <w:sz w:val="24"/>
                <w:szCs w:val="24"/>
                <w:lang w:val="en-US" w:bidi="ar-SA"/>
              </w:rPr>
            </w:pPr>
            <w:r>
              <w:rPr>
                <w:rFonts w:hint="eastAsia" w:cs="Times New Roman"/>
                <w:sz w:val="24"/>
                <w:szCs w:val="24"/>
                <w:lang w:val="en-US" w:bidi="ar-SA"/>
              </w:rPr>
              <w:t>投标人的互联网医疗产品具有在医疗机构中实际应用的实践经验，需提供相关证明材料复印件（以合同中所体现的“互联网医疗”或“互联网医院”或“掌上医院”等关键词为准）。提供项目合同复印件为准，每提供1项得2分，最多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shd w:val="clear" w:color="auto" w:fill="auto"/>
            <w:vAlign w:val="center"/>
          </w:tcPr>
          <w:p>
            <w:pPr>
              <w:widowControl/>
              <w:numPr>
                <w:ilvl w:val="0"/>
                <w:numId w:val="4"/>
              </w:numPr>
              <w:autoSpaceDE/>
              <w:autoSpaceDN/>
              <w:spacing w:before="156" w:after="156"/>
              <w:ind w:left="720" w:leftChars="0" w:hanging="720" w:firstLineChars="0"/>
              <w:jc w:val="center"/>
              <w:rPr>
                <w:rFonts w:cs="Times New Roman"/>
                <w:sz w:val="24"/>
                <w:szCs w:val="24"/>
                <w:lang w:val="en-US" w:bidi="ar-SA"/>
              </w:rPr>
            </w:pPr>
          </w:p>
        </w:tc>
        <w:tc>
          <w:tcPr>
            <w:tcW w:w="832" w:type="pct"/>
            <w:vMerge w:val="continue"/>
            <w:shd w:val="clear" w:color="auto" w:fill="auto"/>
            <w:vAlign w:val="center"/>
          </w:tcPr>
          <w:p>
            <w:pPr>
              <w:widowControl/>
              <w:autoSpaceDE/>
              <w:autoSpaceDN/>
              <w:spacing w:before="156" w:after="156"/>
              <w:rPr>
                <w:rFonts w:cs="Times New Roman"/>
                <w:sz w:val="24"/>
                <w:szCs w:val="24"/>
                <w:lang w:val="en-US" w:bidi="ar-SA"/>
              </w:rPr>
            </w:pPr>
          </w:p>
        </w:tc>
        <w:tc>
          <w:tcPr>
            <w:tcW w:w="580" w:type="pct"/>
            <w:shd w:val="clear" w:color="auto" w:fill="auto"/>
            <w:vAlign w:val="center"/>
          </w:tcPr>
          <w:p>
            <w:pPr>
              <w:widowControl/>
              <w:autoSpaceDE/>
              <w:autoSpaceDN/>
              <w:spacing w:before="156" w:after="156"/>
              <w:jc w:val="center"/>
              <w:rPr>
                <w:rFonts w:cs="Times New Roman"/>
                <w:sz w:val="24"/>
                <w:szCs w:val="24"/>
                <w:lang w:val="en-US" w:bidi="ar-SA"/>
              </w:rPr>
            </w:pPr>
            <w:r>
              <w:rPr>
                <w:rFonts w:hint="eastAsia" w:cs="Times New Roman"/>
                <w:sz w:val="24"/>
                <w:szCs w:val="24"/>
                <w:lang w:val="en-US" w:bidi="ar-SA"/>
              </w:rPr>
              <w:t>3</w:t>
            </w:r>
          </w:p>
        </w:tc>
        <w:tc>
          <w:tcPr>
            <w:tcW w:w="3107" w:type="pct"/>
            <w:shd w:val="clear" w:color="auto" w:fill="auto"/>
          </w:tcPr>
          <w:p>
            <w:pPr>
              <w:widowControl/>
              <w:autoSpaceDE/>
              <w:autoSpaceDN/>
              <w:spacing w:before="156" w:after="156"/>
              <w:rPr>
                <w:rFonts w:cs="Times New Roman"/>
                <w:sz w:val="24"/>
                <w:szCs w:val="24"/>
                <w:lang w:val="en-US" w:bidi="ar-SA"/>
              </w:rPr>
            </w:pPr>
            <w:r>
              <w:rPr>
                <w:rFonts w:hint="eastAsia" w:cs="Times New Roman"/>
                <w:sz w:val="24"/>
                <w:szCs w:val="24"/>
                <w:lang w:val="en-US" w:bidi="ar-SA"/>
              </w:rPr>
              <w:t>投标人具有三级医院成功取得互联网医院牌照的实践经验，需提供医院牌照复印件为准，每提供1项得1分，最多得3分，</w:t>
            </w:r>
            <w:r>
              <w:rPr>
                <w:rFonts w:hint="eastAsia"/>
                <w:sz w:val="24"/>
                <w:szCs w:val="24"/>
                <w:lang w:val="en-US" w:bidi="ar-SA"/>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shd w:val="clear" w:color="auto" w:fill="auto"/>
            <w:vAlign w:val="center"/>
          </w:tcPr>
          <w:p>
            <w:pPr>
              <w:widowControl/>
              <w:numPr>
                <w:ilvl w:val="0"/>
                <w:numId w:val="4"/>
              </w:numPr>
              <w:autoSpaceDE/>
              <w:autoSpaceDN/>
              <w:spacing w:before="156" w:after="156"/>
              <w:ind w:left="720" w:leftChars="0" w:hanging="720" w:firstLineChars="0"/>
              <w:jc w:val="center"/>
              <w:rPr>
                <w:rFonts w:cs="Times New Roman"/>
                <w:sz w:val="24"/>
                <w:szCs w:val="24"/>
                <w:lang w:val="en-US" w:bidi="ar-SA"/>
              </w:rPr>
            </w:pPr>
          </w:p>
        </w:tc>
        <w:tc>
          <w:tcPr>
            <w:tcW w:w="832" w:type="pct"/>
            <w:vMerge w:val="continue"/>
            <w:shd w:val="clear" w:color="auto" w:fill="auto"/>
            <w:vAlign w:val="center"/>
          </w:tcPr>
          <w:p>
            <w:pPr>
              <w:widowControl/>
              <w:autoSpaceDE/>
              <w:autoSpaceDN/>
              <w:spacing w:before="156" w:after="156"/>
              <w:rPr>
                <w:rFonts w:cs="Times New Roman"/>
                <w:sz w:val="24"/>
                <w:szCs w:val="24"/>
                <w:lang w:val="en-US" w:bidi="ar-SA"/>
              </w:rPr>
            </w:pPr>
          </w:p>
        </w:tc>
        <w:tc>
          <w:tcPr>
            <w:tcW w:w="580" w:type="pct"/>
            <w:shd w:val="clear" w:color="auto" w:fill="auto"/>
            <w:vAlign w:val="center"/>
          </w:tcPr>
          <w:p>
            <w:pPr>
              <w:widowControl/>
              <w:autoSpaceDE/>
              <w:autoSpaceDN/>
              <w:spacing w:before="156" w:after="156"/>
              <w:jc w:val="center"/>
              <w:rPr>
                <w:rFonts w:cs="Times New Roman"/>
                <w:sz w:val="24"/>
                <w:szCs w:val="24"/>
                <w:lang w:val="en-US" w:bidi="ar-SA"/>
              </w:rPr>
            </w:pPr>
            <w:r>
              <w:rPr>
                <w:rFonts w:hint="eastAsia" w:cs="Times New Roman"/>
                <w:sz w:val="24"/>
                <w:szCs w:val="24"/>
                <w:lang w:val="en-US" w:bidi="ar-SA"/>
              </w:rPr>
              <w:t>3</w:t>
            </w:r>
          </w:p>
        </w:tc>
        <w:tc>
          <w:tcPr>
            <w:tcW w:w="3107" w:type="pct"/>
            <w:shd w:val="clear" w:color="auto" w:fill="auto"/>
          </w:tcPr>
          <w:p>
            <w:pPr>
              <w:widowControl/>
              <w:autoSpaceDE/>
              <w:autoSpaceDN/>
              <w:spacing w:before="156" w:after="156" w:line="440" w:lineRule="exact"/>
              <w:rPr>
                <w:rFonts w:cs="Times New Roman"/>
                <w:bCs/>
                <w:sz w:val="24"/>
                <w:szCs w:val="24"/>
                <w:lang w:val="en-US" w:bidi="ar-SA"/>
              </w:rPr>
            </w:pPr>
            <w:r>
              <w:rPr>
                <w:rFonts w:hint="eastAsia" w:cs="Times New Roman"/>
                <w:bCs/>
                <w:sz w:val="24"/>
                <w:szCs w:val="24"/>
                <w:lang w:val="en-US" w:bidi="ar-SA"/>
              </w:rPr>
              <w:t>投标人应确保互联网相关产品的安全性，产品在项目</w:t>
            </w:r>
            <w:r>
              <w:rPr>
                <w:rFonts w:hint="eastAsia" w:cs="Times New Roman"/>
                <w:sz w:val="24"/>
                <w:szCs w:val="24"/>
                <w:lang w:val="en-US" w:bidi="ar-SA"/>
              </w:rPr>
              <w:t>实践</w:t>
            </w:r>
            <w:r>
              <w:rPr>
                <w:rFonts w:hint="eastAsia" w:cs="Times New Roman"/>
                <w:bCs/>
                <w:sz w:val="24"/>
                <w:szCs w:val="24"/>
                <w:lang w:val="en-US" w:bidi="ar-SA"/>
              </w:rPr>
              <w:t>中通过第三方安全测试的得3分，需提供项目合同和第三方出具的互联网相关产品安全测试报告复印件为准，</w:t>
            </w:r>
            <w:r>
              <w:rPr>
                <w:rFonts w:hint="eastAsia"/>
                <w:sz w:val="24"/>
                <w:szCs w:val="24"/>
                <w:lang w:val="en-US" w:bidi="ar-SA"/>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shd w:val="clear" w:color="auto" w:fill="auto"/>
            <w:vAlign w:val="center"/>
          </w:tcPr>
          <w:p>
            <w:pPr>
              <w:widowControl/>
              <w:numPr>
                <w:ilvl w:val="0"/>
                <w:numId w:val="4"/>
              </w:numPr>
              <w:autoSpaceDE/>
              <w:autoSpaceDN/>
              <w:spacing w:before="156" w:after="156"/>
              <w:ind w:left="720" w:leftChars="0" w:hanging="720" w:firstLineChars="0"/>
              <w:jc w:val="center"/>
              <w:rPr>
                <w:rFonts w:cs="Times New Roman"/>
                <w:sz w:val="24"/>
                <w:szCs w:val="24"/>
                <w:lang w:val="en-US" w:bidi="ar-SA"/>
              </w:rPr>
            </w:pPr>
          </w:p>
        </w:tc>
        <w:tc>
          <w:tcPr>
            <w:tcW w:w="832" w:type="pct"/>
            <w:vMerge w:val="restart"/>
            <w:shd w:val="clear" w:color="auto" w:fill="auto"/>
            <w:vAlign w:val="center"/>
          </w:tcPr>
          <w:p>
            <w:pPr>
              <w:widowControl/>
              <w:autoSpaceDE/>
              <w:autoSpaceDN/>
              <w:spacing w:before="156" w:after="156"/>
              <w:rPr>
                <w:rFonts w:cs="Times New Roman"/>
                <w:sz w:val="24"/>
                <w:szCs w:val="24"/>
                <w:lang w:val="en-US" w:bidi="ar-SA"/>
              </w:rPr>
            </w:pPr>
            <w:r>
              <w:rPr>
                <w:rFonts w:hint="eastAsia" w:cs="Times New Roman"/>
                <w:sz w:val="24"/>
                <w:szCs w:val="24"/>
                <w:lang w:val="en-US" w:bidi="ar-SA"/>
              </w:rPr>
              <w:t>研发能力</w:t>
            </w:r>
          </w:p>
        </w:tc>
        <w:tc>
          <w:tcPr>
            <w:tcW w:w="580" w:type="pct"/>
            <w:shd w:val="clear" w:color="auto" w:fill="auto"/>
            <w:vAlign w:val="center"/>
          </w:tcPr>
          <w:p>
            <w:pPr>
              <w:widowControl/>
              <w:autoSpaceDE/>
              <w:autoSpaceDN/>
              <w:spacing w:before="156" w:after="156"/>
              <w:jc w:val="center"/>
              <w:rPr>
                <w:rFonts w:cs="Times New Roman"/>
                <w:sz w:val="24"/>
                <w:szCs w:val="24"/>
                <w:lang w:val="en-US" w:bidi="ar-SA"/>
              </w:rPr>
            </w:pPr>
            <w:r>
              <w:rPr>
                <w:rFonts w:hint="eastAsia" w:cs="Times New Roman"/>
                <w:sz w:val="24"/>
                <w:szCs w:val="24"/>
                <w:lang w:val="en-US" w:bidi="ar-SA"/>
              </w:rPr>
              <w:t>3</w:t>
            </w:r>
          </w:p>
        </w:tc>
        <w:tc>
          <w:tcPr>
            <w:tcW w:w="3107" w:type="pct"/>
            <w:shd w:val="clear" w:color="auto" w:fill="auto"/>
          </w:tcPr>
          <w:p>
            <w:pPr>
              <w:widowControl/>
              <w:autoSpaceDE/>
              <w:autoSpaceDN/>
              <w:spacing w:before="156" w:after="156"/>
              <w:rPr>
                <w:rFonts w:cs="Times New Roman"/>
                <w:sz w:val="24"/>
                <w:szCs w:val="24"/>
                <w:lang w:val="en-US" w:bidi="ar-SA"/>
              </w:rPr>
            </w:pPr>
            <w:r>
              <w:rPr>
                <w:rFonts w:hint="eastAsia"/>
                <w:sz w:val="24"/>
                <w:szCs w:val="24"/>
                <w:lang w:val="en-US" w:bidi="ar-SA"/>
              </w:rPr>
              <w:t>投标人具有医院共同研制开发互联网医疗信息相关软件产品经验，以软件著作权登记证书复印件为准（软件著作权登记证书需能体现医院和投标人的相关信息，与同一个医院合作开发的不同著作权不重复计分），每具有1项医院用户经验的得0.5分，</w:t>
            </w:r>
            <w:r>
              <w:rPr>
                <w:rFonts w:hint="eastAsia" w:cs="Times New Roman"/>
                <w:sz w:val="24"/>
                <w:szCs w:val="24"/>
                <w:lang w:val="en-US" w:bidi="ar-SA"/>
              </w:rPr>
              <w:t>最多得3分，</w:t>
            </w:r>
            <w:r>
              <w:rPr>
                <w:rFonts w:hint="eastAsia"/>
                <w:sz w:val="24"/>
                <w:szCs w:val="24"/>
                <w:lang w:val="en-US" w:bidi="ar-SA"/>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shd w:val="clear" w:color="auto" w:fill="auto"/>
            <w:vAlign w:val="center"/>
          </w:tcPr>
          <w:p>
            <w:pPr>
              <w:widowControl/>
              <w:numPr>
                <w:ilvl w:val="0"/>
                <w:numId w:val="4"/>
              </w:numPr>
              <w:autoSpaceDE/>
              <w:autoSpaceDN/>
              <w:spacing w:before="156" w:after="156"/>
              <w:ind w:left="720" w:leftChars="0" w:hanging="720" w:firstLineChars="0"/>
              <w:jc w:val="center"/>
              <w:rPr>
                <w:rFonts w:cs="Times New Roman"/>
                <w:sz w:val="24"/>
                <w:szCs w:val="24"/>
                <w:lang w:val="en-US" w:bidi="ar-SA"/>
              </w:rPr>
            </w:pPr>
          </w:p>
        </w:tc>
        <w:tc>
          <w:tcPr>
            <w:tcW w:w="832" w:type="pct"/>
            <w:vMerge w:val="continue"/>
            <w:shd w:val="clear" w:color="auto" w:fill="auto"/>
            <w:vAlign w:val="center"/>
          </w:tcPr>
          <w:p>
            <w:pPr>
              <w:widowControl/>
              <w:autoSpaceDE/>
              <w:autoSpaceDN/>
              <w:spacing w:before="156" w:after="156"/>
              <w:rPr>
                <w:rFonts w:cs="Times New Roman"/>
                <w:sz w:val="24"/>
                <w:szCs w:val="24"/>
                <w:lang w:val="en-US" w:bidi="ar-SA"/>
              </w:rPr>
            </w:pPr>
          </w:p>
        </w:tc>
        <w:tc>
          <w:tcPr>
            <w:tcW w:w="580" w:type="pct"/>
            <w:shd w:val="clear" w:color="auto" w:fill="auto"/>
            <w:vAlign w:val="center"/>
          </w:tcPr>
          <w:p>
            <w:pPr>
              <w:widowControl/>
              <w:autoSpaceDE/>
              <w:autoSpaceDN/>
              <w:spacing w:before="156" w:after="156"/>
              <w:jc w:val="center"/>
              <w:rPr>
                <w:rFonts w:cs="Times New Roman"/>
                <w:sz w:val="24"/>
                <w:szCs w:val="24"/>
                <w:lang w:val="en-US" w:bidi="ar-SA"/>
              </w:rPr>
            </w:pPr>
            <w:r>
              <w:rPr>
                <w:rFonts w:hint="eastAsia" w:cs="Times New Roman"/>
                <w:sz w:val="24"/>
                <w:szCs w:val="24"/>
                <w:lang w:val="en-US" w:bidi="ar-SA"/>
              </w:rPr>
              <w:t>4</w:t>
            </w:r>
          </w:p>
        </w:tc>
        <w:tc>
          <w:tcPr>
            <w:tcW w:w="3107" w:type="pct"/>
            <w:shd w:val="clear" w:color="auto" w:fill="auto"/>
          </w:tcPr>
          <w:p>
            <w:pPr>
              <w:widowControl/>
              <w:autoSpaceDE/>
              <w:autoSpaceDN/>
              <w:spacing w:before="156" w:after="156"/>
              <w:rPr>
                <w:rFonts w:cs="Times New Roman"/>
                <w:sz w:val="24"/>
                <w:szCs w:val="24"/>
                <w:lang w:val="en-US" w:bidi="ar-SA"/>
              </w:rPr>
            </w:pPr>
            <w:r>
              <w:rPr>
                <w:rFonts w:hint="eastAsia" w:cs="Times New Roman"/>
                <w:sz w:val="24"/>
                <w:szCs w:val="24"/>
                <w:lang w:val="en-US" w:bidi="ar-SA"/>
              </w:rPr>
              <w:t>投标人具有较为完整的医疗卫生信息化产品线，包括：互联网医院、掌上医院、聚合支付平台、医疗信息安全软件著作权证书。每提供1份证书得1分，最高得4分。（提供软件名称可不同但需与建设内容一致，以项目公告前取得的著作权登记证书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shd w:val="clear" w:color="auto" w:fill="auto"/>
            <w:vAlign w:val="center"/>
          </w:tcPr>
          <w:p>
            <w:pPr>
              <w:widowControl/>
              <w:numPr>
                <w:ilvl w:val="0"/>
                <w:numId w:val="4"/>
              </w:numPr>
              <w:autoSpaceDE/>
              <w:autoSpaceDN/>
              <w:spacing w:before="156" w:after="156"/>
              <w:ind w:left="720" w:leftChars="0" w:hanging="720" w:firstLineChars="0"/>
              <w:jc w:val="center"/>
              <w:rPr>
                <w:rFonts w:cs="Times New Roman"/>
                <w:sz w:val="24"/>
                <w:szCs w:val="24"/>
                <w:lang w:val="en-US" w:bidi="ar-SA"/>
              </w:rPr>
            </w:pPr>
          </w:p>
        </w:tc>
        <w:tc>
          <w:tcPr>
            <w:tcW w:w="832" w:type="pct"/>
            <w:shd w:val="clear" w:color="auto" w:fill="auto"/>
            <w:vAlign w:val="center"/>
          </w:tcPr>
          <w:p>
            <w:pPr>
              <w:widowControl/>
              <w:autoSpaceDE/>
              <w:autoSpaceDN/>
              <w:spacing w:before="156" w:after="156"/>
              <w:rPr>
                <w:rFonts w:cs="Times New Roman"/>
                <w:sz w:val="24"/>
                <w:szCs w:val="24"/>
                <w:lang w:val="en-US" w:bidi="ar-SA"/>
              </w:rPr>
            </w:pPr>
            <w:r>
              <w:rPr>
                <w:rFonts w:hint="eastAsia" w:cs="Times New Roman"/>
                <w:sz w:val="24"/>
                <w:szCs w:val="24"/>
                <w:lang w:val="en-US" w:bidi="ar-SA"/>
              </w:rPr>
              <w:t>针对本项目所提供的项目整体解决方案设计</w:t>
            </w:r>
          </w:p>
        </w:tc>
        <w:tc>
          <w:tcPr>
            <w:tcW w:w="580" w:type="pct"/>
            <w:shd w:val="clear" w:color="auto" w:fill="auto"/>
            <w:vAlign w:val="center"/>
          </w:tcPr>
          <w:p>
            <w:pPr>
              <w:widowControl/>
              <w:autoSpaceDE/>
              <w:autoSpaceDN/>
              <w:spacing w:before="156" w:after="156"/>
              <w:jc w:val="center"/>
              <w:rPr>
                <w:rFonts w:cs="Times New Roman"/>
                <w:sz w:val="24"/>
                <w:szCs w:val="24"/>
                <w:lang w:val="en-US" w:bidi="ar-SA"/>
              </w:rPr>
            </w:pPr>
            <w:r>
              <w:rPr>
                <w:rFonts w:hint="eastAsia" w:cs="Times New Roman"/>
                <w:sz w:val="24"/>
                <w:szCs w:val="24"/>
                <w:lang w:val="en-US" w:bidi="ar-SA"/>
              </w:rPr>
              <w:t>5</w:t>
            </w:r>
          </w:p>
        </w:tc>
        <w:tc>
          <w:tcPr>
            <w:tcW w:w="3107" w:type="pct"/>
            <w:shd w:val="clear" w:color="auto" w:fill="auto"/>
          </w:tcPr>
          <w:p>
            <w:pPr>
              <w:widowControl/>
              <w:autoSpaceDE/>
              <w:autoSpaceDN/>
              <w:spacing w:before="156" w:after="156"/>
              <w:rPr>
                <w:rFonts w:cs="Times New Roman"/>
                <w:sz w:val="24"/>
                <w:szCs w:val="24"/>
                <w:lang w:val="en-US" w:bidi="ar-SA"/>
              </w:rPr>
            </w:pPr>
            <w:r>
              <w:rPr>
                <w:rFonts w:hint="eastAsia" w:cs="Times New Roman"/>
                <w:sz w:val="24"/>
                <w:szCs w:val="24"/>
                <w:lang w:val="en-US" w:bidi="ar-SA"/>
              </w:rPr>
              <w:t>投标人对本项目建设背景、系统现状具有充分了解，并能理解本项目建设需求和目标；投标方案总体设计科学，充分理解本次项目的功能模块和业务需求，技术路线清晰可行，并提出规范合理的总体设计方案，能满足业主方需求。评委根据投标方案内容进行酌情打分。</w:t>
            </w:r>
          </w:p>
          <w:p>
            <w:pPr>
              <w:widowControl/>
              <w:autoSpaceDE/>
              <w:autoSpaceDN/>
              <w:spacing w:before="156" w:after="156"/>
              <w:rPr>
                <w:rFonts w:cs="Times New Roman"/>
                <w:sz w:val="24"/>
                <w:szCs w:val="24"/>
                <w:lang w:val="en-US" w:bidi="ar-SA"/>
              </w:rPr>
            </w:pPr>
            <w:r>
              <w:rPr>
                <w:rFonts w:hint="eastAsia" w:cs="Times New Roman"/>
                <w:sz w:val="24"/>
                <w:szCs w:val="24"/>
                <w:lang w:val="en-US" w:bidi="ar-SA"/>
              </w:rPr>
              <w:t>第一档（5分）：对医院实际情况、信息化现状了解清晰，投标方案总体设计科学、技术路线清晰可行，满足业主方需求。</w:t>
            </w:r>
          </w:p>
          <w:p>
            <w:pPr>
              <w:widowControl/>
              <w:autoSpaceDE/>
              <w:autoSpaceDN/>
              <w:spacing w:before="156" w:after="156"/>
              <w:rPr>
                <w:rFonts w:cs="Times New Roman"/>
                <w:sz w:val="24"/>
                <w:szCs w:val="24"/>
                <w:lang w:val="en-US" w:bidi="ar-SA"/>
              </w:rPr>
            </w:pPr>
            <w:r>
              <w:rPr>
                <w:rFonts w:hint="eastAsia" w:cs="Times New Roman"/>
                <w:sz w:val="24"/>
                <w:szCs w:val="24"/>
                <w:lang w:val="en-US" w:bidi="ar-SA"/>
              </w:rPr>
              <w:t>第二档（3分）：对医院信息化现状有一定了解，能提出总体设计方案。</w:t>
            </w:r>
          </w:p>
          <w:p>
            <w:pPr>
              <w:widowControl/>
              <w:autoSpaceDE/>
              <w:autoSpaceDN/>
              <w:spacing w:before="156" w:after="156"/>
              <w:rPr>
                <w:rFonts w:cs="Times New Roman"/>
                <w:sz w:val="24"/>
                <w:szCs w:val="24"/>
                <w:lang w:val="en-US" w:bidi="ar-SA"/>
              </w:rPr>
            </w:pPr>
            <w:r>
              <w:rPr>
                <w:rFonts w:hint="eastAsia" w:cs="Times New Roman"/>
                <w:sz w:val="24"/>
                <w:szCs w:val="24"/>
                <w:lang w:val="en-US" w:bidi="ar-SA"/>
              </w:rPr>
              <w:t>第三档（1分）：对医院信息化现状了解一般，总体设计方案一般。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shd w:val="clear" w:color="auto" w:fill="auto"/>
            <w:vAlign w:val="center"/>
          </w:tcPr>
          <w:p>
            <w:pPr>
              <w:widowControl/>
              <w:numPr>
                <w:ilvl w:val="0"/>
                <w:numId w:val="4"/>
              </w:numPr>
              <w:autoSpaceDE/>
              <w:autoSpaceDN/>
              <w:spacing w:before="156" w:after="156"/>
              <w:jc w:val="center"/>
              <w:rPr>
                <w:rFonts w:cs="Times New Roman"/>
                <w:sz w:val="24"/>
                <w:szCs w:val="24"/>
                <w:lang w:val="en-US" w:bidi="ar-SA"/>
              </w:rPr>
            </w:pPr>
          </w:p>
        </w:tc>
        <w:tc>
          <w:tcPr>
            <w:tcW w:w="832" w:type="pct"/>
            <w:shd w:val="clear" w:color="auto" w:fill="auto"/>
            <w:vAlign w:val="center"/>
          </w:tcPr>
          <w:p>
            <w:pPr>
              <w:widowControl/>
              <w:autoSpaceDE/>
              <w:autoSpaceDN/>
              <w:spacing w:before="156" w:after="156"/>
              <w:rPr>
                <w:rFonts w:cs="Times New Roman"/>
                <w:sz w:val="24"/>
                <w:szCs w:val="24"/>
                <w:lang w:val="en-US" w:bidi="ar-SA"/>
              </w:rPr>
            </w:pPr>
            <w:r>
              <w:rPr>
                <w:rFonts w:hint="eastAsia" w:cs="Times New Roman"/>
                <w:sz w:val="24"/>
                <w:szCs w:val="24"/>
                <w:lang w:val="en-US" w:bidi="ar-SA"/>
              </w:rPr>
              <w:t>项目需求响应情况</w:t>
            </w:r>
          </w:p>
        </w:tc>
        <w:tc>
          <w:tcPr>
            <w:tcW w:w="580" w:type="pct"/>
            <w:shd w:val="clear" w:color="auto" w:fill="auto"/>
            <w:vAlign w:val="center"/>
          </w:tcPr>
          <w:p>
            <w:pPr>
              <w:widowControl/>
              <w:autoSpaceDE/>
              <w:autoSpaceDN/>
              <w:spacing w:before="156" w:after="156"/>
              <w:jc w:val="center"/>
              <w:rPr>
                <w:rFonts w:cs="Times New Roman"/>
                <w:sz w:val="24"/>
                <w:szCs w:val="24"/>
                <w:lang w:val="en-US" w:bidi="ar-SA"/>
              </w:rPr>
            </w:pPr>
            <w:r>
              <w:rPr>
                <w:rFonts w:hint="eastAsia" w:cs="Times New Roman"/>
                <w:sz w:val="24"/>
                <w:szCs w:val="24"/>
                <w:lang w:val="en-US" w:bidi="ar-SA"/>
              </w:rPr>
              <w:t>15</w:t>
            </w:r>
          </w:p>
        </w:tc>
        <w:tc>
          <w:tcPr>
            <w:tcW w:w="3107" w:type="pct"/>
            <w:shd w:val="clear" w:color="auto" w:fill="auto"/>
          </w:tcPr>
          <w:p>
            <w:pPr>
              <w:widowControl/>
              <w:autoSpaceDE/>
              <w:autoSpaceDN/>
              <w:spacing w:before="156" w:after="156" w:line="440" w:lineRule="exact"/>
              <w:rPr>
                <w:rFonts w:cs="Times New Roman"/>
                <w:bCs/>
                <w:sz w:val="24"/>
                <w:szCs w:val="24"/>
                <w:lang w:val="en-US" w:bidi="ar-SA"/>
              </w:rPr>
            </w:pPr>
            <w:r>
              <w:rPr>
                <w:rFonts w:hint="eastAsia" w:cs="Times New Roman"/>
                <w:sz w:val="24"/>
                <w:szCs w:val="24"/>
                <w:lang w:val="en-US" w:bidi="ar-SA"/>
              </w:rPr>
              <w:t>投标人针对本项目建设内容设计方案是否满足本项目招标文件的实际需求，提出符合医院信息化的建设方案。投标产品与招标产品技术参数进行比较，评委根据投标方案内容进行酌情打分。</w:t>
            </w:r>
            <w:r>
              <w:rPr>
                <w:rFonts w:hint="eastAsia" w:cs="Times New Roman"/>
                <w:bCs/>
                <w:sz w:val="24"/>
                <w:szCs w:val="24"/>
                <w:lang w:val="en-US" w:bidi="ar-SA"/>
              </w:rPr>
              <w:t xml:space="preserve"> </w:t>
            </w:r>
          </w:p>
          <w:p>
            <w:pPr>
              <w:widowControl/>
              <w:autoSpaceDE/>
              <w:autoSpaceDN/>
              <w:spacing w:line="360" w:lineRule="auto"/>
              <w:rPr>
                <w:rFonts w:cs="Times New Roman"/>
                <w:bCs/>
                <w:sz w:val="24"/>
                <w:szCs w:val="24"/>
                <w:lang w:val="en-US" w:bidi="ar-SA"/>
              </w:rPr>
            </w:pPr>
            <w:r>
              <w:rPr>
                <w:rFonts w:hint="eastAsia" w:cs="Times New Roman"/>
                <w:bCs/>
                <w:sz w:val="24"/>
                <w:szCs w:val="24"/>
                <w:lang w:val="en-US" w:bidi="ar-SA"/>
              </w:rPr>
              <w:t>第一档（15分）：功能完善、符合实际需要，并能在招标需求基础上提出建设性内容</w:t>
            </w:r>
          </w:p>
          <w:p>
            <w:pPr>
              <w:widowControl/>
              <w:autoSpaceDE/>
              <w:autoSpaceDN/>
              <w:spacing w:line="360" w:lineRule="auto"/>
              <w:rPr>
                <w:rFonts w:cs="Times New Roman"/>
                <w:bCs/>
                <w:sz w:val="24"/>
                <w:szCs w:val="24"/>
                <w:lang w:val="en-US" w:bidi="ar-SA"/>
              </w:rPr>
            </w:pPr>
            <w:r>
              <w:rPr>
                <w:rFonts w:hint="eastAsia" w:cs="Times New Roman"/>
                <w:bCs/>
                <w:sz w:val="24"/>
                <w:szCs w:val="24"/>
                <w:lang w:val="en-US" w:bidi="ar-SA"/>
              </w:rPr>
              <w:t>第二档（10分）：功能完善、符合实际需要</w:t>
            </w:r>
          </w:p>
          <w:p>
            <w:pPr>
              <w:widowControl/>
              <w:autoSpaceDE/>
              <w:autoSpaceDN/>
              <w:spacing w:line="360" w:lineRule="auto"/>
              <w:rPr>
                <w:rFonts w:cs="Times New Roman"/>
                <w:bCs/>
                <w:sz w:val="24"/>
                <w:szCs w:val="24"/>
                <w:lang w:val="en-US" w:bidi="ar-SA"/>
              </w:rPr>
            </w:pPr>
            <w:r>
              <w:rPr>
                <w:rFonts w:hint="eastAsia" w:cs="Times New Roman"/>
                <w:bCs/>
                <w:sz w:val="24"/>
                <w:szCs w:val="24"/>
                <w:lang w:val="en-US" w:bidi="ar-SA"/>
              </w:rPr>
              <w:t>第三档</w:t>
            </w:r>
            <w:r>
              <w:rPr>
                <w:rFonts w:hint="eastAsia" w:cs="Times New Roman"/>
                <w:bCs/>
                <w:sz w:val="24"/>
                <w:szCs w:val="24"/>
                <w:lang w:val="en-US" w:eastAsia="zh-CN" w:bidi="ar-SA"/>
              </w:rPr>
              <w:t>（</w:t>
            </w:r>
            <w:r>
              <w:rPr>
                <w:rFonts w:hint="eastAsia" w:cs="Times New Roman"/>
                <w:bCs/>
                <w:sz w:val="24"/>
                <w:szCs w:val="24"/>
                <w:lang w:val="en-US" w:bidi="ar-SA"/>
              </w:rPr>
              <w:t>5分）：符合招标需求</w:t>
            </w:r>
          </w:p>
          <w:p>
            <w:pPr>
              <w:widowControl/>
              <w:autoSpaceDE/>
              <w:autoSpaceDN/>
              <w:spacing w:line="360" w:lineRule="auto"/>
              <w:rPr>
                <w:rFonts w:cs="Times New Roman"/>
                <w:bCs/>
                <w:sz w:val="24"/>
                <w:szCs w:val="24"/>
                <w:lang w:val="en-US" w:bidi="ar-SA"/>
              </w:rPr>
            </w:pPr>
            <w:r>
              <w:rPr>
                <w:rFonts w:hint="eastAsia" w:cs="Times New Roman"/>
                <w:bCs/>
                <w:sz w:val="24"/>
                <w:szCs w:val="24"/>
                <w:lang w:val="en-US" w:bidi="ar-SA"/>
              </w:rPr>
              <w:t>第</w:t>
            </w:r>
            <w:r>
              <w:rPr>
                <w:rFonts w:hint="eastAsia" w:cs="Times New Roman"/>
                <w:bCs/>
                <w:sz w:val="24"/>
                <w:szCs w:val="24"/>
                <w:lang w:val="en-US" w:eastAsia="zh-CN" w:bidi="ar-SA"/>
              </w:rPr>
              <w:t>四</w:t>
            </w:r>
            <w:r>
              <w:rPr>
                <w:rFonts w:hint="eastAsia" w:cs="Times New Roman"/>
                <w:bCs/>
                <w:sz w:val="24"/>
                <w:szCs w:val="24"/>
                <w:lang w:val="en-US" w:bidi="ar-SA"/>
              </w:rPr>
              <w:t>档</w:t>
            </w:r>
            <w:r>
              <w:rPr>
                <w:rFonts w:hint="eastAsia" w:cs="Times New Roman"/>
                <w:bCs/>
                <w:sz w:val="24"/>
                <w:szCs w:val="24"/>
                <w:lang w:val="en-US" w:eastAsia="zh-CN" w:bidi="ar-SA"/>
              </w:rPr>
              <w:t>（</w:t>
            </w:r>
            <w:r>
              <w:rPr>
                <w:rFonts w:hint="eastAsia" w:cs="Times New Roman"/>
                <w:bCs/>
                <w:sz w:val="24"/>
                <w:szCs w:val="24"/>
                <w:lang w:val="en-US" w:bidi="ar-SA"/>
              </w:rPr>
              <w:t>0分）：不符合招标需求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shd w:val="clear" w:color="auto" w:fill="auto"/>
            <w:vAlign w:val="center"/>
          </w:tcPr>
          <w:p>
            <w:pPr>
              <w:widowControl/>
              <w:numPr>
                <w:ilvl w:val="0"/>
                <w:numId w:val="4"/>
              </w:numPr>
              <w:autoSpaceDE/>
              <w:autoSpaceDN/>
              <w:spacing w:before="156" w:after="156"/>
              <w:jc w:val="center"/>
              <w:rPr>
                <w:rFonts w:cs="Times New Roman"/>
                <w:sz w:val="24"/>
                <w:szCs w:val="24"/>
                <w:lang w:val="en-US" w:bidi="ar-SA"/>
              </w:rPr>
            </w:pPr>
          </w:p>
        </w:tc>
        <w:tc>
          <w:tcPr>
            <w:tcW w:w="832" w:type="pct"/>
            <w:vMerge w:val="restart"/>
            <w:shd w:val="clear" w:color="auto" w:fill="auto"/>
            <w:vAlign w:val="center"/>
          </w:tcPr>
          <w:p>
            <w:pPr>
              <w:widowControl/>
              <w:autoSpaceDE/>
              <w:autoSpaceDN/>
              <w:spacing w:before="156" w:after="156"/>
              <w:rPr>
                <w:rFonts w:cs="Times New Roman"/>
                <w:sz w:val="24"/>
                <w:szCs w:val="24"/>
                <w:lang w:val="en-US" w:bidi="ar-SA"/>
              </w:rPr>
            </w:pPr>
            <w:r>
              <w:rPr>
                <w:rFonts w:hint="eastAsia" w:cs="Times New Roman"/>
                <w:sz w:val="24"/>
                <w:szCs w:val="24"/>
                <w:lang w:val="en-US" w:bidi="ar-SA"/>
              </w:rPr>
              <w:t>安全应急</w:t>
            </w:r>
          </w:p>
        </w:tc>
        <w:tc>
          <w:tcPr>
            <w:tcW w:w="580" w:type="pct"/>
            <w:shd w:val="clear" w:color="auto" w:fill="auto"/>
            <w:vAlign w:val="center"/>
          </w:tcPr>
          <w:p>
            <w:pPr>
              <w:widowControl/>
              <w:autoSpaceDE/>
              <w:autoSpaceDN/>
              <w:spacing w:before="156" w:after="156"/>
              <w:jc w:val="center"/>
              <w:rPr>
                <w:rFonts w:cs="Times New Roman"/>
                <w:sz w:val="24"/>
                <w:szCs w:val="24"/>
                <w:lang w:val="en-US" w:bidi="ar-SA"/>
              </w:rPr>
            </w:pPr>
            <w:r>
              <w:rPr>
                <w:rFonts w:hint="eastAsia" w:cs="Times New Roman"/>
                <w:sz w:val="24"/>
                <w:szCs w:val="24"/>
                <w:lang w:val="en-US" w:bidi="ar-SA"/>
              </w:rPr>
              <w:t>3</w:t>
            </w:r>
          </w:p>
        </w:tc>
        <w:tc>
          <w:tcPr>
            <w:tcW w:w="3107" w:type="pct"/>
            <w:shd w:val="clear" w:color="auto" w:fill="auto"/>
          </w:tcPr>
          <w:p>
            <w:pPr>
              <w:widowControl/>
              <w:autoSpaceDE/>
              <w:autoSpaceDN/>
              <w:spacing w:line="360" w:lineRule="auto"/>
              <w:rPr>
                <w:rFonts w:cs="Times New Roman"/>
                <w:bCs/>
                <w:sz w:val="24"/>
                <w:szCs w:val="24"/>
                <w:lang w:val="en-US" w:bidi="ar-SA"/>
              </w:rPr>
            </w:pPr>
            <w:r>
              <w:rPr>
                <w:rFonts w:hint="eastAsia" w:cs="Times New Roman"/>
                <w:bCs/>
                <w:sz w:val="24"/>
                <w:szCs w:val="24"/>
                <w:lang w:val="en-US" w:bidi="ar-SA"/>
              </w:rPr>
              <w:t>投标人应根据可能发生的故障问题，提供有效可行的系统应急方案，以保障系统正常稳定运行。对系统的应用安全、隐私保护方面提出了切实可行的措施和解决方案。由评委综合打分。</w:t>
            </w:r>
          </w:p>
          <w:p>
            <w:pPr>
              <w:widowControl/>
              <w:autoSpaceDE/>
              <w:autoSpaceDN/>
              <w:spacing w:line="360" w:lineRule="auto"/>
              <w:rPr>
                <w:rFonts w:cs="Times New Roman"/>
                <w:bCs/>
                <w:sz w:val="24"/>
                <w:szCs w:val="24"/>
                <w:lang w:val="en-US" w:bidi="ar-SA"/>
              </w:rPr>
            </w:pPr>
            <w:r>
              <w:rPr>
                <w:rFonts w:hint="eastAsia" w:cs="Times New Roman"/>
                <w:bCs/>
                <w:sz w:val="24"/>
                <w:szCs w:val="24"/>
                <w:lang w:val="en-US" w:bidi="ar-SA"/>
              </w:rPr>
              <w:t>第一档</w:t>
            </w:r>
            <w:r>
              <w:rPr>
                <w:rFonts w:hint="eastAsia" w:cs="Times New Roman"/>
                <w:bCs/>
                <w:sz w:val="24"/>
                <w:szCs w:val="24"/>
                <w:lang w:val="en-US" w:eastAsia="zh-CN" w:bidi="ar-SA"/>
              </w:rPr>
              <w:t>（</w:t>
            </w:r>
            <w:r>
              <w:rPr>
                <w:rFonts w:hint="eastAsia" w:cs="Times New Roman"/>
                <w:bCs/>
                <w:sz w:val="24"/>
                <w:szCs w:val="24"/>
                <w:lang w:val="en-US" w:bidi="ar-SA"/>
              </w:rPr>
              <w:t>3分）：方案具有一定先进性，具有实际操作性。</w:t>
            </w:r>
          </w:p>
          <w:p>
            <w:pPr>
              <w:widowControl/>
              <w:autoSpaceDE/>
              <w:autoSpaceDN/>
              <w:spacing w:line="360" w:lineRule="auto"/>
              <w:rPr>
                <w:rFonts w:cs="Times New Roman"/>
                <w:bCs/>
                <w:sz w:val="24"/>
                <w:szCs w:val="24"/>
                <w:lang w:val="en-US" w:bidi="ar-SA"/>
              </w:rPr>
            </w:pPr>
            <w:r>
              <w:rPr>
                <w:rFonts w:hint="eastAsia" w:cs="Times New Roman"/>
                <w:bCs/>
                <w:sz w:val="24"/>
                <w:szCs w:val="24"/>
                <w:lang w:val="en-US" w:bidi="ar-SA"/>
              </w:rPr>
              <w:t>第二档（2分）：方案基本可行</w:t>
            </w:r>
          </w:p>
          <w:p>
            <w:pPr>
              <w:widowControl/>
              <w:autoSpaceDE/>
              <w:autoSpaceDN/>
              <w:spacing w:line="360" w:lineRule="auto"/>
              <w:rPr>
                <w:rFonts w:cs="Times New Roman"/>
                <w:bCs/>
                <w:sz w:val="24"/>
                <w:szCs w:val="24"/>
                <w:lang w:val="en-US" w:bidi="ar-SA"/>
              </w:rPr>
            </w:pPr>
            <w:r>
              <w:rPr>
                <w:rFonts w:hint="eastAsia" w:cs="Times New Roman"/>
                <w:bCs/>
                <w:sz w:val="24"/>
                <w:szCs w:val="24"/>
                <w:lang w:val="en-US" w:bidi="ar-SA"/>
              </w:rPr>
              <w:t>第三档（1分）：方案理论可行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shd w:val="clear" w:color="auto" w:fill="auto"/>
            <w:vAlign w:val="center"/>
          </w:tcPr>
          <w:p>
            <w:pPr>
              <w:widowControl/>
              <w:numPr>
                <w:ilvl w:val="0"/>
                <w:numId w:val="4"/>
              </w:numPr>
              <w:autoSpaceDE/>
              <w:autoSpaceDN/>
              <w:spacing w:before="156" w:after="156"/>
              <w:jc w:val="center"/>
              <w:rPr>
                <w:rFonts w:cs="Times New Roman"/>
                <w:sz w:val="24"/>
                <w:szCs w:val="24"/>
                <w:lang w:val="en-US" w:bidi="ar-SA"/>
              </w:rPr>
            </w:pPr>
          </w:p>
        </w:tc>
        <w:tc>
          <w:tcPr>
            <w:tcW w:w="832" w:type="pct"/>
            <w:vMerge w:val="continue"/>
            <w:shd w:val="clear" w:color="auto" w:fill="auto"/>
            <w:vAlign w:val="center"/>
          </w:tcPr>
          <w:p>
            <w:pPr>
              <w:widowControl/>
              <w:autoSpaceDE/>
              <w:autoSpaceDN/>
              <w:spacing w:before="156" w:after="156"/>
              <w:rPr>
                <w:rFonts w:cs="Times New Roman"/>
                <w:sz w:val="24"/>
                <w:szCs w:val="24"/>
                <w:lang w:val="en-US" w:bidi="ar-SA"/>
              </w:rPr>
            </w:pPr>
          </w:p>
        </w:tc>
        <w:tc>
          <w:tcPr>
            <w:tcW w:w="580" w:type="pct"/>
            <w:shd w:val="clear" w:color="auto" w:fill="auto"/>
            <w:vAlign w:val="center"/>
          </w:tcPr>
          <w:p>
            <w:pPr>
              <w:widowControl/>
              <w:autoSpaceDE/>
              <w:autoSpaceDN/>
              <w:spacing w:before="156" w:after="156"/>
              <w:jc w:val="center"/>
              <w:rPr>
                <w:rFonts w:cs="Times New Roman"/>
                <w:sz w:val="24"/>
                <w:szCs w:val="24"/>
                <w:lang w:val="en-US" w:bidi="ar-SA"/>
              </w:rPr>
            </w:pPr>
            <w:r>
              <w:rPr>
                <w:rFonts w:hint="eastAsia" w:cs="Times New Roman"/>
                <w:sz w:val="24"/>
                <w:szCs w:val="24"/>
                <w:lang w:val="en-US" w:bidi="ar-SA"/>
              </w:rPr>
              <w:t>2</w:t>
            </w:r>
          </w:p>
        </w:tc>
        <w:tc>
          <w:tcPr>
            <w:tcW w:w="3107" w:type="pct"/>
            <w:shd w:val="clear" w:color="auto" w:fill="auto"/>
          </w:tcPr>
          <w:p>
            <w:pPr>
              <w:widowControl/>
              <w:autoSpaceDE/>
              <w:autoSpaceDN/>
              <w:spacing w:line="360" w:lineRule="auto"/>
              <w:rPr>
                <w:rFonts w:cs="Times New Roman"/>
                <w:bCs/>
                <w:sz w:val="24"/>
                <w:szCs w:val="24"/>
                <w:lang w:val="en-US" w:bidi="ar-SA"/>
              </w:rPr>
            </w:pPr>
            <w:r>
              <w:rPr>
                <w:rFonts w:hint="eastAsia" w:cs="Times New Roman"/>
                <w:bCs/>
                <w:sz w:val="24"/>
                <w:szCs w:val="24"/>
                <w:lang w:val="en-US" w:bidi="ar-SA"/>
              </w:rPr>
              <w:t>投标人具有信息安全管理体系认证证书（ISO/IEC 27001），认证范围包括“医疗卫生”、“医疗行业”等，满足得2分，其他不得分。以提供证书复印件为准。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shd w:val="clear" w:color="auto" w:fill="auto"/>
            <w:vAlign w:val="center"/>
          </w:tcPr>
          <w:p>
            <w:pPr>
              <w:widowControl/>
              <w:numPr>
                <w:ilvl w:val="0"/>
                <w:numId w:val="4"/>
              </w:numPr>
              <w:autoSpaceDE/>
              <w:autoSpaceDN/>
              <w:spacing w:before="156" w:after="156"/>
              <w:jc w:val="center"/>
              <w:rPr>
                <w:rFonts w:cs="Times New Roman"/>
                <w:sz w:val="24"/>
                <w:szCs w:val="24"/>
                <w:lang w:val="en-US" w:bidi="ar-SA"/>
              </w:rPr>
            </w:pPr>
          </w:p>
        </w:tc>
        <w:tc>
          <w:tcPr>
            <w:tcW w:w="832" w:type="pct"/>
            <w:shd w:val="clear" w:color="auto" w:fill="auto"/>
            <w:vAlign w:val="center"/>
          </w:tcPr>
          <w:p>
            <w:pPr>
              <w:widowControl/>
              <w:autoSpaceDE/>
              <w:autoSpaceDN/>
              <w:spacing w:before="156" w:after="156"/>
              <w:rPr>
                <w:rFonts w:cs="Times New Roman"/>
                <w:sz w:val="24"/>
                <w:szCs w:val="24"/>
                <w:lang w:val="en-US" w:bidi="ar-SA"/>
              </w:rPr>
            </w:pPr>
            <w:r>
              <w:rPr>
                <w:rFonts w:hint="eastAsia" w:cs="Times New Roman"/>
                <w:sz w:val="24"/>
                <w:szCs w:val="24"/>
                <w:lang w:val="en-US" w:bidi="ar-SA"/>
              </w:rPr>
              <w:t>项目实施保障</w:t>
            </w:r>
          </w:p>
        </w:tc>
        <w:tc>
          <w:tcPr>
            <w:tcW w:w="580" w:type="pct"/>
            <w:shd w:val="clear" w:color="auto" w:fill="auto"/>
            <w:vAlign w:val="center"/>
          </w:tcPr>
          <w:p>
            <w:pPr>
              <w:widowControl/>
              <w:autoSpaceDE/>
              <w:autoSpaceDN/>
              <w:spacing w:before="156" w:after="156"/>
              <w:jc w:val="center"/>
              <w:rPr>
                <w:rFonts w:cs="Times New Roman"/>
                <w:sz w:val="24"/>
                <w:szCs w:val="24"/>
                <w:lang w:val="en-US" w:bidi="ar-SA"/>
              </w:rPr>
            </w:pPr>
            <w:r>
              <w:rPr>
                <w:rFonts w:hint="eastAsia" w:cs="Times New Roman"/>
                <w:sz w:val="24"/>
                <w:szCs w:val="24"/>
                <w:lang w:val="en-US" w:bidi="ar-SA"/>
              </w:rPr>
              <w:t>5</w:t>
            </w:r>
          </w:p>
        </w:tc>
        <w:tc>
          <w:tcPr>
            <w:tcW w:w="3107" w:type="pct"/>
            <w:shd w:val="clear" w:color="auto" w:fill="auto"/>
          </w:tcPr>
          <w:p>
            <w:pPr>
              <w:widowControl/>
              <w:autoSpaceDE/>
              <w:autoSpaceDN/>
              <w:spacing w:line="360" w:lineRule="auto"/>
              <w:rPr>
                <w:rFonts w:cs="Times New Roman"/>
                <w:bCs/>
                <w:sz w:val="24"/>
                <w:szCs w:val="24"/>
                <w:lang w:val="en-US" w:bidi="ar-SA"/>
              </w:rPr>
            </w:pPr>
            <w:r>
              <w:rPr>
                <w:rFonts w:hint="eastAsia" w:cs="Times New Roman"/>
                <w:bCs/>
                <w:sz w:val="24"/>
                <w:szCs w:val="24"/>
                <w:lang w:val="en-US" w:bidi="ar-SA"/>
              </w:rPr>
              <w:t>投标人具有成熟可靠的项目实施标准规范、并具有必要的质量管理体系，能够遵循项目实施原则并根据项目建设实际需要合理安排项目建设进度和周期计划。评委根据投标方案阐述进行综合打分。</w:t>
            </w:r>
          </w:p>
          <w:p>
            <w:pPr>
              <w:widowControl/>
              <w:autoSpaceDE/>
              <w:autoSpaceDN/>
              <w:spacing w:line="360" w:lineRule="auto"/>
              <w:rPr>
                <w:rFonts w:cs="Times New Roman"/>
                <w:bCs/>
                <w:sz w:val="24"/>
                <w:szCs w:val="24"/>
                <w:lang w:val="en-US" w:bidi="ar-SA"/>
              </w:rPr>
            </w:pPr>
            <w:r>
              <w:rPr>
                <w:rFonts w:hint="eastAsia" w:cs="Times New Roman"/>
                <w:bCs/>
                <w:sz w:val="24"/>
                <w:szCs w:val="24"/>
                <w:lang w:val="en-US" w:bidi="ar-SA"/>
              </w:rPr>
              <w:t>第一档</w:t>
            </w:r>
            <w:r>
              <w:rPr>
                <w:rFonts w:hint="eastAsia" w:cs="Times New Roman"/>
                <w:bCs/>
                <w:sz w:val="24"/>
                <w:szCs w:val="24"/>
                <w:lang w:val="en-US" w:eastAsia="zh-CN" w:bidi="ar-SA"/>
              </w:rPr>
              <w:t>（</w:t>
            </w:r>
            <w:r>
              <w:rPr>
                <w:rFonts w:hint="eastAsia" w:cs="Times New Roman"/>
                <w:bCs/>
                <w:sz w:val="24"/>
                <w:szCs w:val="24"/>
                <w:lang w:val="en-US" w:bidi="ar-SA"/>
              </w:rPr>
              <w:t>5分）：项目实施标准规范，质量保证体系具有实际操作性。</w:t>
            </w:r>
          </w:p>
          <w:p>
            <w:pPr>
              <w:widowControl/>
              <w:autoSpaceDE/>
              <w:autoSpaceDN/>
              <w:spacing w:line="360" w:lineRule="auto"/>
              <w:rPr>
                <w:rFonts w:cs="Times New Roman"/>
                <w:bCs/>
                <w:sz w:val="24"/>
                <w:szCs w:val="24"/>
                <w:lang w:val="en-US" w:bidi="ar-SA"/>
              </w:rPr>
            </w:pPr>
            <w:r>
              <w:rPr>
                <w:rFonts w:hint="eastAsia" w:cs="Times New Roman"/>
                <w:bCs/>
                <w:sz w:val="24"/>
                <w:szCs w:val="24"/>
                <w:lang w:val="en-US" w:bidi="ar-SA"/>
              </w:rPr>
              <w:t>第二档</w:t>
            </w:r>
            <w:r>
              <w:rPr>
                <w:rFonts w:hint="eastAsia" w:cs="Times New Roman"/>
                <w:bCs/>
                <w:sz w:val="24"/>
                <w:szCs w:val="24"/>
                <w:lang w:val="en-US" w:eastAsia="zh-CN" w:bidi="ar-SA"/>
              </w:rPr>
              <w:t>（</w:t>
            </w:r>
            <w:r>
              <w:rPr>
                <w:rFonts w:hint="eastAsia" w:cs="Times New Roman"/>
                <w:bCs/>
                <w:sz w:val="24"/>
                <w:szCs w:val="24"/>
                <w:lang w:val="en-US" w:bidi="ar-SA"/>
              </w:rPr>
              <w:t>3分）：项目实施符合规范，质量管理体系基本可行。</w:t>
            </w:r>
          </w:p>
          <w:p>
            <w:pPr>
              <w:widowControl/>
              <w:autoSpaceDE/>
              <w:autoSpaceDN/>
              <w:spacing w:line="360" w:lineRule="auto"/>
              <w:rPr>
                <w:rFonts w:cs="Times New Roman"/>
                <w:sz w:val="24"/>
                <w:szCs w:val="24"/>
                <w:lang w:val="en-US" w:bidi="ar-SA"/>
              </w:rPr>
            </w:pPr>
            <w:r>
              <w:rPr>
                <w:rFonts w:hint="eastAsia" w:cs="Times New Roman"/>
                <w:bCs/>
                <w:sz w:val="24"/>
                <w:szCs w:val="24"/>
                <w:lang w:val="en-US" w:bidi="ar-SA"/>
              </w:rPr>
              <w:t>第三档</w:t>
            </w:r>
            <w:r>
              <w:rPr>
                <w:rFonts w:hint="eastAsia" w:cs="Times New Roman"/>
                <w:bCs/>
                <w:sz w:val="24"/>
                <w:szCs w:val="24"/>
                <w:lang w:val="en-US" w:eastAsia="zh-CN" w:bidi="ar-SA"/>
              </w:rPr>
              <w:t>（</w:t>
            </w:r>
            <w:r>
              <w:rPr>
                <w:rFonts w:hint="eastAsia" w:cs="Times New Roman"/>
                <w:bCs/>
                <w:sz w:val="24"/>
                <w:szCs w:val="24"/>
                <w:lang w:val="en-US" w:bidi="ar-SA"/>
              </w:rPr>
              <w:t>1分）：项目实施基本规范，质量管理体系理论可行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shd w:val="clear" w:color="auto" w:fill="auto"/>
            <w:vAlign w:val="center"/>
          </w:tcPr>
          <w:p>
            <w:pPr>
              <w:widowControl/>
              <w:numPr>
                <w:ilvl w:val="0"/>
                <w:numId w:val="4"/>
              </w:numPr>
              <w:autoSpaceDE/>
              <w:autoSpaceDN/>
              <w:spacing w:before="156" w:after="156"/>
              <w:jc w:val="center"/>
              <w:rPr>
                <w:rFonts w:cs="Times New Roman"/>
                <w:sz w:val="24"/>
                <w:szCs w:val="24"/>
                <w:lang w:val="en-US" w:bidi="ar-SA"/>
              </w:rPr>
            </w:pPr>
          </w:p>
        </w:tc>
        <w:tc>
          <w:tcPr>
            <w:tcW w:w="832" w:type="pct"/>
            <w:vMerge w:val="restart"/>
            <w:shd w:val="clear" w:color="auto" w:fill="auto"/>
            <w:vAlign w:val="center"/>
          </w:tcPr>
          <w:p>
            <w:pPr>
              <w:widowControl/>
              <w:autoSpaceDE/>
              <w:autoSpaceDN/>
              <w:spacing w:before="156" w:after="156"/>
              <w:rPr>
                <w:rFonts w:cs="Times New Roman"/>
                <w:sz w:val="24"/>
                <w:szCs w:val="24"/>
                <w:lang w:val="en-US" w:bidi="ar-SA"/>
              </w:rPr>
            </w:pPr>
            <w:r>
              <w:rPr>
                <w:rFonts w:hint="eastAsia" w:cs="Times New Roman"/>
                <w:sz w:val="24"/>
                <w:szCs w:val="24"/>
                <w:lang w:val="en-US" w:bidi="ar-SA"/>
              </w:rPr>
              <w:t>项目人员配备</w:t>
            </w:r>
          </w:p>
        </w:tc>
        <w:tc>
          <w:tcPr>
            <w:tcW w:w="580" w:type="pct"/>
            <w:shd w:val="clear" w:color="auto" w:fill="auto"/>
            <w:vAlign w:val="center"/>
          </w:tcPr>
          <w:p>
            <w:pPr>
              <w:widowControl/>
              <w:autoSpaceDE/>
              <w:autoSpaceDN/>
              <w:spacing w:before="156" w:after="156"/>
              <w:jc w:val="center"/>
              <w:rPr>
                <w:rFonts w:cs="Times New Roman"/>
                <w:sz w:val="24"/>
                <w:szCs w:val="24"/>
                <w:lang w:val="en-US" w:bidi="ar-SA"/>
              </w:rPr>
            </w:pPr>
            <w:r>
              <w:rPr>
                <w:rFonts w:hint="eastAsia" w:cs="Times New Roman"/>
                <w:sz w:val="24"/>
                <w:szCs w:val="24"/>
                <w:lang w:val="en-US" w:bidi="ar-SA"/>
              </w:rPr>
              <w:t>3</w:t>
            </w:r>
          </w:p>
        </w:tc>
        <w:tc>
          <w:tcPr>
            <w:tcW w:w="3107" w:type="pct"/>
            <w:shd w:val="clear" w:color="auto" w:fill="auto"/>
          </w:tcPr>
          <w:p>
            <w:pPr>
              <w:widowControl/>
              <w:autoSpaceDE/>
              <w:autoSpaceDN/>
              <w:spacing w:line="360" w:lineRule="auto"/>
              <w:rPr>
                <w:rFonts w:cs="Times New Roman"/>
                <w:sz w:val="24"/>
                <w:szCs w:val="24"/>
                <w:lang w:val="en-US" w:bidi="ar-SA"/>
              </w:rPr>
            </w:pPr>
            <w:r>
              <w:rPr>
                <w:rFonts w:hint="eastAsia" w:cs="Times New Roman"/>
                <w:bCs/>
                <w:sz w:val="24"/>
                <w:szCs w:val="24"/>
                <w:lang w:val="en-US" w:bidi="ar-SA"/>
              </w:rPr>
              <w:t>投标人拟派的项目经理具有信息系统项目管理师（高级）及高级工程师资质，且具备医疗卫生信息化项目的管理经验。满足得3分，否则不得分。需提供人员的资质证书、用户证明及投标人为其缴纳的投标截止时间前3个月内任意一个月的社保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shd w:val="clear" w:color="auto" w:fill="auto"/>
            <w:vAlign w:val="center"/>
          </w:tcPr>
          <w:p>
            <w:pPr>
              <w:widowControl/>
              <w:numPr>
                <w:ilvl w:val="0"/>
                <w:numId w:val="4"/>
              </w:numPr>
              <w:autoSpaceDE/>
              <w:autoSpaceDN/>
              <w:spacing w:before="156" w:after="156"/>
              <w:jc w:val="center"/>
              <w:rPr>
                <w:rFonts w:cs="Times New Roman"/>
                <w:sz w:val="24"/>
                <w:szCs w:val="24"/>
                <w:lang w:val="en-US" w:bidi="ar-SA"/>
              </w:rPr>
            </w:pPr>
          </w:p>
        </w:tc>
        <w:tc>
          <w:tcPr>
            <w:tcW w:w="832" w:type="pct"/>
            <w:vMerge w:val="continue"/>
            <w:shd w:val="clear" w:color="auto" w:fill="auto"/>
            <w:vAlign w:val="center"/>
          </w:tcPr>
          <w:p>
            <w:pPr>
              <w:widowControl/>
              <w:autoSpaceDE/>
              <w:autoSpaceDN/>
              <w:spacing w:before="156" w:after="156"/>
              <w:rPr>
                <w:rFonts w:cs="Times New Roman"/>
                <w:sz w:val="24"/>
                <w:szCs w:val="24"/>
                <w:lang w:val="en-US" w:bidi="ar-SA"/>
              </w:rPr>
            </w:pPr>
          </w:p>
        </w:tc>
        <w:tc>
          <w:tcPr>
            <w:tcW w:w="580" w:type="pct"/>
            <w:shd w:val="clear" w:color="auto" w:fill="auto"/>
            <w:vAlign w:val="center"/>
          </w:tcPr>
          <w:p>
            <w:pPr>
              <w:widowControl/>
              <w:autoSpaceDE/>
              <w:autoSpaceDN/>
              <w:spacing w:before="156" w:after="156"/>
              <w:jc w:val="center"/>
              <w:rPr>
                <w:rFonts w:cs="Times New Roman"/>
                <w:sz w:val="24"/>
                <w:szCs w:val="24"/>
                <w:lang w:val="en-US" w:bidi="ar-SA"/>
              </w:rPr>
            </w:pPr>
            <w:r>
              <w:rPr>
                <w:rFonts w:hint="eastAsia" w:cs="Times New Roman"/>
                <w:sz w:val="24"/>
                <w:szCs w:val="24"/>
                <w:lang w:val="en-US" w:bidi="ar-SA"/>
              </w:rPr>
              <w:t>5</w:t>
            </w:r>
          </w:p>
        </w:tc>
        <w:tc>
          <w:tcPr>
            <w:tcW w:w="3107" w:type="pct"/>
            <w:shd w:val="clear" w:color="auto" w:fill="auto"/>
          </w:tcPr>
          <w:p>
            <w:pPr>
              <w:widowControl/>
              <w:autoSpaceDE/>
              <w:autoSpaceDN/>
              <w:spacing w:line="360" w:lineRule="auto"/>
              <w:rPr>
                <w:rFonts w:cs="Times New Roman"/>
                <w:bCs/>
                <w:sz w:val="24"/>
                <w:szCs w:val="24"/>
                <w:lang w:val="en-US" w:bidi="ar-SA"/>
              </w:rPr>
            </w:pPr>
            <w:r>
              <w:rPr>
                <w:rFonts w:hint="eastAsia" w:cs="Times New Roman"/>
                <w:bCs/>
                <w:sz w:val="24"/>
                <w:szCs w:val="24"/>
                <w:lang w:val="en-US" w:bidi="ar-SA"/>
              </w:rPr>
              <w:t>投标人项目组其他成员结构合理，至少具有以下认证证书：信息系统项目管理师认证、系统架构师认证、软件设计师认证、数据库系统工程师认证、网络工程师认证。全部满足得5分，3-5个得3分，不足3个不得分。</w:t>
            </w:r>
          </w:p>
          <w:p>
            <w:pPr>
              <w:widowControl/>
              <w:autoSpaceDE/>
              <w:autoSpaceDN/>
              <w:spacing w:line="360" w:lineRule="auto"/>
              <w:rPr>
                <w:rFonts w:cs="Times New Roman"/>
                <w:sz w:val="24"/>
                <w:szCs w:val="24"/>
                <w:lang w:val="en-US" w:bidi="ar-SA"/>
              </w:rPr>
            </w:pPr>
            <w:r>
              <w:rPr>
                <w:rFonts w:hint="eastAsia" w:cs="Times New Roman"/>
                <w:bCs/>
                <w:sz w:val="24"/>
                <w:szCs w:val="24"/>
                <w:lang w:val="en-US" w:bidi="ar-SA"/>
              </w:rPr>
              <w:t>需提供在上述人员资质证书复印件及投标人为其缴纳的投标截止时间前3个月内任意一个月的社保证明材料。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shd w:val="clear" w:color="auto" w:fill="auto"/>
            <w:vAlign w:val="center"/>
          </w:tcPr>
          <w:p>
            <w:pPr>
              <w:widowControl/>
              <w:numPr>
                <w:ilvl w:val="0"/>
                <w:numId w:val="4"/>
              </w:numPr>
              <w:autoSpaceDE/>
              <w:autoSpaceDN/>
              <w:spacing w:before="156" w:after="156"/>
              <w:jc w:val="center"/>
              <w:rPr>
                <w:rFonts w:cs="Times New Roman"/>
                <w:sz w:val="24"/>
                <w:szCs w:val="24"/>
                <w:lang w:val="en-US" w:bidi="ar-SA"/>
              </w:rPr>
            </w:pPr>
          </w:p>
        </w:tc>
        <w:tc>
          <w:tcPr>
            <w:tcW w:w="832" w:type="pct"/>
            <w:vMerge w:val="restart"/>
            <w:shd w:val="clear" w:color="auto" w:fill="auto"/>
            <w:vAlign w:val="center"/>
          </w:tcPr>
          <w:p>
            <w:pPr>
              <w:widowControl/>
              <w:autoSpaceDE/>
              <w:autoSpaceDN/>
              <w:spacing w:before="156" w:after="156"/>
              <w:rPr>
                <w:rFonts w:cs="Times New Roman"/>
                <w:sz w:val="24"/>
                <w:szCs w:val="24"/>
                <w:lang w:val="en-US" w:bidi="ar-SA"/>
              </w:rPr>
            </w:pPr>
            <w:r>
              <w:rPr>
                <w:rFonts w:hint="eastAsia" w:cs="Times New Roman"/>
                <w:sz w:val="24"/>
                <w:szCs w:val="24"/>
                <w:lang w:val="en-US" w:bidi="ar-SA"/>
              </w:rPr>
              <w:t>售后服务</w:t>
            </w:r>
          </w:p>
        </w:tc>
        <w:tc>
          <w:tcPr>
            <w:tcW w:w="580" w:type="pct"/>
            <w:shd w:val="clear" w:color="auto" w:fill="auto"/>
            <w:vAlign w:val="center"/>
          </w:tcPr>
          <w:p>
            <w:pPr>
              <w:widowControl/>
              <w:autoSpaceDE/>
              <w:autoSpaceDN/>
              <w:spacing w:before="156" w:after="156"/>
              <w:jc w:val="center"/>
              <w:rPr>
                <w:rFonts w:cs="Times New Roman"/>
                <w:sz w:val="24"/>
                <w:szCs w:val="24"/>
                <w:lang w:val="en-US" w:bidi="ar-SA"/>
              </w:rPr>
            </w:pPr>
            <w:r>
              <w:rPr>
                <w:rFonts w:hint="eastAsia" w:cs="Times New Roman"/>
                <w:sz w:val="24"/>
                <w:szCs w:val="24"/>
                <w:lang w:val="en-US" w:bidi="ar-SA"/>
              </w:rPr>
              <w:t>3</w:t>
            </w:r>
          </w:p>
        </w:tc>
        <w:tc>
          <w:tcPr>
            <w:tcW w:w="3107" w:type="pct"/>
            <w:shd w:val="clear" w:color="auto" w:fill="auto"/>
          </w:tcPr>
          <w:p>
            <w:pPr>
              <w:widowControl/>
              <w:autoSpaceDE/>
              <w:autoSpaceDN/>
              <w:spacing w:before="156" w:after="156" w:line="440" w:lineRule="exact"/>
              <w:rPr>
                <w:rFonts w:cs="Times New Roman"/>
                <w:bCs/>
                <w:sz w:val="24"/>
                <w:szCs w:val="24"/>
                <w:lang w:val="en-US" w:bidi="ar-SA"/>
              </w:rPr>
            </w:pPr>
            <w:r>
              <w:rPr>
                <w:rFonts w:hint="eastAsia" w:cs="Times New Roman"/>
                <w:bCs/>
                <w:sz w:val="24"/>
                <w:szCs w:val="24"/>
                <w:lang w:val="en-US" w:bidi="ar-SA"/>
              </w:rPr>
              <w:t>投标人能够确保项目售后服务质量，提供可行可靠的售后服务方案。评委根据投标方案内容进行综合打分。</w:t>
            </w:r>
          </w:p>
          <w:p>
            <w:pPr>
              <w:widowControl/>
              <w:autoSpaceDE/>
              <w:autoSpaceDN/>
              <w:spacing w:before="156" w:after="156" w:line="440" w:lineRule="exact"/>
              <w:rPr>
                <w:rFonts w:cs="Times New Roman"/>
                <w:bCs/>
                <w:sz w:val="24"/>
                <w:szCs w:val="24"/>
                <w:lang w:val="en-US" w:bidi="ar-SA"/>
              </w:rPr>
            </w:pPr>
            <w:r>
              <w:rPr>
                <w:rFonts w:hint="eastAsia" w:cs="Times New Roman"/>
                <w:bCs/>
                <w:sz w:val="24"/>
                <w:szCs w:val="24"/>
                <w:lang w:val="en-US" w:bidi="ar-SA"/>
              </w:rPr>
              <w:t>第一档（3分）：具有完善的售后服务体系，能以本地实体为基础提供技术支持服务，对服务需求快速响应和解决问题。提供详细的售后服务承诺，且具有完善的售后服务方案；</w:t>
            </w:r>
          </w:p>
          <w:p>
            <w:pPr>
              <w:widowControl/>
              <w:autoSpaceDE/>
              <w:autoSpaceDN/>
              <w:spacing w:before="156" w:after="156" w:line="440" w:lineRule="exact"/>
              <w:rPr>
                <w:rFonts w:cs="Times New Roman"/>
                <w:bCs/>
                <w:sz w:val="24"/>
                <w:szCs w:val="24"/>
                <w:lang w:val="en-US" w:bidi="ar-SA"/>
              </w:rPr>
            </w:pPr>
            <w:r>
              <w:rPr>
                <w:rFonts w:hint="eastAsia" w:cs="Times New Roman"/>
                <w:bCs/>
                <w:sz w:val="24"/>
                <w:szCs w:val="24"/>
                <w:lang w:val="en-US" w:bidi="ar-SA"/>
              </w:rPr>
              <w:t>第二档（2分）：售后服务承诺及方案基本可行，能及时响应服务需求不影响日常工作；</w:t>
            </w:r>
          </w:p>
          <w:p>
            <w:pPr>
              <w:widowControl/>
              <w:autoSpaceDE/>
              <w:autoSpaceDN/>
              <w:spacing w:before="156" w:after="156" w:line="440" w:lineRule="exact"/>
              <w:rPr>
                <w:rFonts w:cs="Times New Roman"/>
                <w:bCs/>
                <w:sz w:val="24"/>
                <w:szCs w:val="24"/>
                <w:lang w:val="en-US" w:bidi="ar-SA"/>
              </w:rPr>
            </w:pPr>
            <w:r>
              <w:rPr>
                <w:rFonts w:hint="eastAsia" w:cs="Times New Roman"/>
                <w:bCs/>
                <w:sz w:val="24"/>
                <w:szCs w:val="24"/>
                <w:lang w:val="en-US" w:bidi="ar-SA"/>
              </w:rPr>
              <w:t>第三档（1分）：售后服务承诺及方案较粗略，基本保证日常工作；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shd w:val="clear" w:color="auto" w:fill="auto"/>
            <w:vAlign w:val="center"/>
          </w:tcPr>
          <w:p>
            <w:pPr>
              <w:widowControl/>
              <w:numPr>
                <w:ilvl w:val="0"/>
                <w:numId w:val="4"/>
              </w:numPr>
              <w:autoSpaceDE/>
              <w:autoSpaceDN/>
              <w:spacing w:before="156" w:after="156"/>
              <w:jc w:val="center"/>
              <w:rPr>
                <w:rFonts w:cs="Times New Roman"/>
                <w:sz w:val="24"/>
                <w:szCs w:val="24"/>
                <w:lang w:val="en-US" w:bidi="ar-SA"/>
              </w:rPr>
            </w:pPr>
          </w:p>
        </w:tc>
        <w:tc>
          <w:tcPr>
            <w:tcW w:w="832" w:type="pct"/>
            <w:vMerge w:val="continue"/>
            <w:shd w:val="clear" w:color="auto" w:fill="auto"/>
            <w:vAlign w:val="center"/>
          </w:tcPr>
          <w:p>
            <w:pPr>
              <w:widowControl/>
              <w:autoSpaceDE/>
              <w:autoSpaceDN/>
              <w:spacing w:before="156" w:after="156"/>
              <w:rPr>
                <w:rFonts w:cs="Times New Roman"/>
                <w:sz w:val="24"/>
                <w:szCs w:val="24"/>
                <w:lang w:val="en-US" w:bidi="ar-SA"/>
              </w:rPr>
            </w:pPr>
          </w:p>
        </w:tc>
        <w:tc>
          <w:tcPr>
            <w:tcW w:w="580" w:type="pct"/>
            <w:shd w:val="clear" w:color="auto" w:fill="auto"/>
            <w:vAlign w:val="center"/>
          </w:tcPr>
          <w:p>
            <w:pPr>
              <w:widowControl/>
              <w:autoSpaceDE/>
              <w:autoSpaceDN/>
              <w:spacing w:before="156" w:after="156"/>
              <w:jc w:val="center"/>
              <w:rPr>
                <w:rFonts w:cs="Times New Roman"/>
                <w:sz w:val="24"/>
                <w:szCs w:val="24"/>
                <w:lang w:val="en-US" w:bidi="ar-SA"/>
              </w:rPr>
            </w:pPr>
            <w:r>
              <w:rPr>
                <w:rFonts w:hint="eastAsia" w:cs="Times New Roman"/>
                <w:sz w:val="24"/>
                <w:szCs w:val="24"/>
                <w:lang w:val="en-US" w:bidi="ar-SA"/>
              </w:rPr>
              <w:t>2</w:t>
            </w:r>
          </w:p>
        </w:tc>
        <w:tc>
          <w:tcPr>
            <w:tcW w:w="3107" w:type="pct"/>
            <w:shd w:val="clear" w:color="auto" w:fill="auto"/>
          </w:tcPr>
          <w:p>
            <w:pPr>
              <w:widowControl/>
              <w:autoSpaceDE/>
              <w:autoSpaceDN/>
              <w:spacing w:before="156" w:after="156" w:line="440" w:lineRule="exact"/>
              <w:rPr>
                <w:rFonts w:cs="Times New Roman"/>
                <w:bCs/>
                <w:sz w:val="24"/>
                <w:szCs w:val="24"/>
                <w:lang w:val="en-US" w:bidi="ar-SA"/>
              </w:rPr>
            </w:pPr>
            <w:r>
              <w:rPr>
                <w:rFonts w:hint="eastAsia" w:cs="Times New Roman"/>
                <w:bCs/>
                <w:sz w:val="24"/>
                <w:szCs w:val="24"/>
                <w:lang w:val="en-US" w:bidi="ar-SA"/>
              </w:rPr>
              <w:t>投标人具有医疗卫生行业应用软件的IT服务管理体系ISO20000认证证书，且认证范围包括“医疗卫生”、“医疗行业”等，满足得2分，其他不得分。以提供证书复印件为准。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shd w:val="clear" w:color="auto" w:fill="auto"/>
            <w:vAlign w:val="center"/>
          </w:tcPr>
          <w:p>
            <w:pPr>
              <w:widowControl/>
              <w:numPr>
                <w:ilvl w:val="0"/>
                <w:numId w:val="4"/>
              </w:numPr>
              <w:autoSpaceDE/>
              <w:autoSpaceDN/>
              <w:spacing w:before="156" w:after="156"/>
              <w:jc w:val="center"/>
              <w:rPr>
                <w:rFonts w:cs="Times New Roman"/>
                <w:sz w:val="24"/>
                <w:szCs w:val="24"/>
                <w:lang w:val="en-US" w:bidi="ar-SA"/>
              </w:rPr>
            </w:pPr>
          </w:p>
        </w:tc>
        <w:tc>
          <w:tcPr>
            <w:tcW w:w="832" w:type="pct"/>
            <w:vMerge w:val="continue"/>
            <w:shd w:val="clear" w:color="auto" w:fill="auto"/>
            <w:vAlign w:val="center"/>
          </w:tcPr>
          <w:p>
            <w:pPr>
              <w:widowControl/>
              <w:autoSpaceDE/>
              <w:autoSpaceDN/>
              <w:spacing w:before="156" w:after="156"/>
              <w:rPr>
                <w:rFonts w:cs="Times New Roman"/>
                <w:sz w:val="24"/>
                <w:szCs w:val="24"/>
                <w:lang w:val="en-US" w:bidi="ar-SA"/>
              </w:rPr>
            </w:pPr>
          </w:p>
        </w:tc>
        <w:tc>
          <w:tcPr>
            <w:tcW w:w="580" w:type="pct"/>
            <w:shd w:val="clear" w:color="auto" w:fill="auto"/>
            <w:vAlign w:val="center"/>
          </w:tcPr>
          <w:p>
            <w:pPr>
              <w:widowControl/>
              <w:autoSpaceDE/>
              <w:autoSpaceDN/>
              <w:spacing w:before="156" w:after="156" w:line="400" w:lineRule="exact"/>
              <w:jc w:val="center"/>
              <w:rPr>
                <w:rFonts w:cs="Times New Roman"/>
                <w:sz w:val="24"/>
                <w:szCs w:val="24"/>
                <w:lang w:val="en-US" w:bidi="ar-SA"/>
              </w:rPr>
            </w:pPr>
            <w:r>
              <w:rPr>
                <w:rFonts w:hint="eastAsia" w:cs="Times New Roman"/>
                <w:sz w:val="24"/>
                <w:szCs w:val="24"/>
                <w:lang w:val="en-US" w:bidi="ar-SA"/>
              </w:rPr>
              <w:t>2</w:t>
            </w:r>
          </w:p>
        </w:tc>
        <w:tc>
          <w:tcPr>
            <w:tcW w:w="3107" w:type="pct"/>
            <w:shd w:val="clear" w:color="auto" w:fill="auto"/>
            <w:vAlign w:val="center"/>
          </w:tcPr>
          <w:p>
            <w:pPr>
              <w:widowControl/>
              <w:autoSpaceDE/>
              <w:autoSpaceDN/>
              <w:spacing w:line="360" w:lineRule="auto"/>
              <w:rPr>
                <w:sz w:val="24"/>
                <w:szCs w:val="24"/>
                <w:lang w:val="en-US" w:bidi="ar-SA"/>
              </w:rPr>
            </w:pPr>
            <w:r>
              <w:rPr>
                <w:rFonts w:hint="eastAsia" w:cs="Times New Roman"/>
                <w:bCs/>
                <w:sz w:val="24"/>
                <w:szCs w:val="24"/>
                <w:lang w:val="en-US" w:bidi="ar-SA"/>
              </w:rPr>
              <w:t>投标人具有信息技术服务运行维护标准符合性证书（ITSS）成熟度等级2级或以上的得2分，其他不得分。以提供证书复印件为准。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shd w:val="clear" w:color="auto" w:fill="auto"/>
            <w:vAlign w:val="center"/>
          </w:tcPr>
          <w:p>
            <w:pPr>
              <w:widowControl/>
              <w:numPr>
                <w:ilvl w:val="0"/>
                <w:numId w:val="4"/>
              </w:numPr>
              <w:autoSpaceDE/>
              <w:autoSpaceDN/>
              <w:spacing w:before="156" w:after="156"/>
              <w:jc w:val="center"/>
              <w:rPr>
                <w:rFonts w:cs="Times New Roman"/>
                <w:sz w:val="24"/>
                <w:szCs w:val="24"/>
                <w:lang w:val="en-US" w:bidi="ar-SA"/>
              </w:rPr>
            </w:pPr>
          </w:p>
        </w:tc>
        <w:tc>
          <w:tcPr>
            <w:tcW w:w="832" w:type="pct"/>
            <w:shd w:val="clear" w:color="auto" w:fill="auto"/>
            <w:vAlign w:val="center"/>
          </w:tcPr>
          <w:p>
            <w:pPr>
              <w:widowControl/>
              <w:autoSpaceDE/>
              <w:autoSpaceDN/>
              <w:spacing w:before="156" w:after="156"/>
              <w:rPr>
                <w:rFonts w:cs="Times New Roman"/>
                <w:sz w:val="24"/>
                <w:szCs w:val="24"/>
                <w:lang w:val="en-US" w:bidi="ar-SA"/>
              </w:rPr>
            </w:pPr>
            <w:r>
              <w:rPr>
                <w:rFonts w:hint="eastAsia" w:cs="Times New Roman"/>
                <w:sz w:val="24"/>
                <w:szCs w:val="24"/>
                <w:lang w:val="en-US" w:bidi="ar-SA"/>
              </w:rPr>
              <w:t>培训方案</w:t>
            </w:r>
          </w:p>
        </w:tc>
        <w:tc>
          <w:tcPr>
            <w:tcW w:w="580" w:type="pct"/>
            <w:shd w:val="clear" w:color="auto" w:fill="auto"/>
            <w:vAlign w:val="center"/>
          </w:tcPr>
          <w:p>
            <w:pPr>
              <w:widowControl/>
              <w:autoSpaceDE/>
              <w:autoSpaceDN/>
              <w:spacing w:before="156" w:after="156"/>
              <w:jc w:val="center"/>
              <w:rPr>
                <w:rFonts w:cs="Times New Roman"/>
                <w:sz w:val="24"/>
                <w:szCs w:val="24"/>
                <w:lang w:val="en-US" w:bidi="ar-SA"/>
              </w:rPr>
            </w:pPr>
            <w:r>
              <w:rPr>
                <w:rFonts w:hint="eastAsia" w:cs="Times New Roman"/>
                <w:sz w:val="24"/>
                <w:szCs w:val="24"/>
                <w:lang w:val="en-US" w:bidi="ar-SA"/>
              </w:rPr>
              <w:t>3</w:t>
            </w:r>
          </w:p>
        </w:tc>
        <w:tc>
          <w:tcPr>
            <w:tcW w:w="3107" w:type="pct"/>
            <w:shd w:val="clear" w:color="auto" w:fill="auto"/>
          </w:tcPr>
          <w:p>
            <w:pPr>
              <w:widowControl/>
              <w:autoSpaceDE/>
              <w:autoSpaceDN/>
              <w:spacing w:before="156" w:after="156" w:line="440" w:lineRule="exact"/>
              <w:rPr>
                <w:rFonts w:cs="Times New Roman"/>
                <w:bCs/>
                <w:sz w:val="24"/>
                <w:szCs w:val="24"/>
                <w:lang w:val="en-US" w:bidi="ar-SA"/>
              </w:rPr>
            </w:pPr>
            <w:r>
              <w:rPr>
                <w:rFonts w:hint="eastAsia" w:cs="Times New Roman"/>
                <w:bCs/>
                <w:sz w:val="24"/>
                <w:szCs w:val="24"/>
                <w:lang w:val="en-US" w:bidi="ar-SA"/>
              </w:rPr>
              <w:t>投标人需根据项目需求提供详细的培训计划。评委根据投标方案内容进行综合打分。</w:t>
            </w:r>
          </w:p>
          <w:p>
            <w:pPr>
              <w:widowControl/>
              <w:autoSpaceDE/>
              <w:autoSpaceDN/>
              <w:spacing w:line="360" w:lineRule="auto"/>
              <w:rPr>
                <w:rFonts w:cs="Times New Roman"/>
                <w:bCs/>
                <w:sz w:val="24"/>
                <w:szCs w:val="24"/>
                <w:lang w:val="en-US" w:bidi="ar-SA"/>
              </w:rPr>
            </w:pPr>
            <w:r>
              <w:rPr>
                <w:rFonts w:hint="eastAsia" w:cs="Times New Roman"/>
                <w:bCs/>
                <w:sz w:val="24"/>
                <w:szCs w:val="24"/>
                <w:lang w:val="en-US" w:bidi="ar-SA"/>
              </w:rPr>
              <w:t>第一档（3分）：培训计划较详细、全面、可行，能够对项目的使用对象提供全面的培训的</w:t>
            </w:r>
          </w:p>
          <w:p>
            <w:pPr>
              <w:widowControl/>
              <w:autoSpaceDE/>
              <w:autoSpaceDN/>
              <w:spacing w:line="360" w:lineRule="auto"/>
              <w:rPr>
                <w:rFonts w:cs="Times New Roman"/>
                <w:bCs/>
                <w:sz w:val="24"/>
                <w:szCs w:val="24"/>
                <w:lang w:val="en-US" w:bidi="ar-SA"/>
              </w:rPr>
            </w:pPr>
            <w:r>
              <w:rPr>
                <w:rFonts w:hint="eastAsia" w:cs="Times New Roman"/>
                <w:bCs/>
                <w:sz w:val="24"/>
                <w:szCs w:val="24"/>
                <w:lang w:val="en-US" w:bidi="ar-SA"/>
              </w:rPr>
              <w:t>第二档（2分）：培训计划及措施基本可行的</w:t>
            </w:r>
          </w:p>
          <w:p>
            <w:pPr>
              <w:widowControl/>
              <w:autoSpaceDE/>
              <w:autoSpaceDN/>
              <w:spacing w:line="360" w:lineRule="auto"/>
              <w:rPr>
                <w:rFonts w:cs="Times New Roman"/>
                <w:sz w:val="24"/>
                <w:szCs w:val="24"/>
                <w:lang w:val="en-US" w:bidi="ar-SA"/>
              </w:rPr>
            </w:pPr>
            <w:r>
              <w:rPr>
                <w:rFonts w:hint="eastAsia" w:cs="Times New Roman"/>
                <w:bCs/>
                <w:sz w:val="24"/>
                <w:szCs w:val="24"/>
                <w:lang w:val="en-US" w:bidi="ar-SA"/>
              </w:rPr>
              <w:t>第三档（1分）：培训计划及措施较粗略，可行性较差</w:t>
            </w:r>
          </w:p>
        </w:tc>
      </w:tr>
    </w:tbl>
    <w:p>
      <w:pPr>
        <w:pStyle w:val="34"/>
        <w:tabs>
          <w:tab w:val="left" w:pos="404"/>
        </w:tabs>
        <w:spacing w:before="48"/>
        <w:ind w:left="241"/>
        <w:rPr>
          <w:spacing w:val="-4"/>
          <w:sz w:val="24"/>
          <w:szCs w:val="28"/>
          <w:lang w:val="en-US"/>
        </w:rPr>
      </w:pPr>
    </w:p>
    <w:tbl>
      <w:tblPr>
        <w:tblStyle w:val="24"/>
        <w:tblpPr w:leftFromText="180" w:rightFromText="180" w:vertAnchor="text" w:horzAnchor="page" w:tblpX="1230" w:tblpY="135"/>
        <w:tblOverlap w:val="never"/>
        <w:tblW w:w="9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3" w:hRule="atLeast"/>
        </w:trPr>
        <w:tc>
          <w:tcPr>
            <w:tcW w:w="9556" w:type="dxa"/>
            <w:vAlign w:val="center"/>
          </w:tcPr>
          <w:p>
            <w:pPr>
              <w:jc w:val="center"/>
            </w:pPr>
            <w:r>
              <w:rPr>
                <w:rFonts w:hint="eastAsia"/>
                <w:spacing w:val="-4"/>
                <w:sz w:val="24"/>
                <w:szCs w:val="28"/>
                <w:lang w:val="en-US"/>
              </w:rPr>
              <w:br w:type="page"/>
            </w:r>
            <w:r>
              <w:rPr>
                <w:rFonts w:hint="eastAsia"/>
                <w:b/>
              </w:rPr>
              <w:t>政策加分条款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44" w:hRule="atLeast"/>
        </w:trPr>
        <w:tc>
          <w:tcPr>
            <w:tcW w:w="9556" w:type="dxa"/>
            <w:vAlign w:val="center"/>
          </w:tcPr>
          <w:p>
            <w:pPr>
              <w:spacing w:line="360" w:lineRule="auto"/>
            </w:pPr>
            <w:r>
              <w:rPr>
                <w:rFonts w:hint="eastAsia" w:asciiTheme="minorEastAsia" w:hAnsiTheme="minorEastAsia" w:eastAsiaTheme="minorEastAsia" w:cstheme="minorEastAsia"/>
                <w:kern w:val="2"/>
                <w:sz w:val="24"/>
                <w:szCs w:val="24"/>
                <w:lang w:val="en-US" w:bidi="ar-SA"/>
              </w:rPr>
              <w:t>落实政府采购政策需满足的资格要求：（1）对小、微型(含监狱企业/残疾人福利性单位)产品的价格给予20%的扣除，用扣除后的价格参与评审，但须提供中小企业声明函，严格按照（财库[2022]19号）《财政部关于进一步加大政府采购支持中小企业力度的通知》执行。提供的声明函必须真实，如有虚假，将依法承担相应责任；符合条件的残疾人福利性单位在参加政府采购活动时，应当提供财库【2017】141号规定的《残疾人福利性单位声明函》，提供的声明函必须真实，如有虚假，将依法承担相应责任。（2）对原产地在少数民族自治区和享受少数民族自治待遇的省份（云南、贵州、青海）的投标主产品（不含附带产品），在总得分基础上加3分。投标主产品按照不得低于本采购项目预算金额50%加以确定。（3）投标产品属于“节能产品清单”或“环保产品清单”有效期内中的产品（强制采购产品除外），在总得分基础上，每一项加0.3分；如投标产品同时属于“节能产品清单”和“环保产品清单”两个清单中产品的，每一项加0.5分，最高不得超过2分（须提供列入品目清单的产品类别（可在中国政府采购网www.ccgp.gov.cn 查询）。（如属于专门面向中小企业采购的项目,供应商应为中小微企业、监狱企业、残疾人福利性单位)。</w:t>
            </w:r>
          </w:p>
        </w:tc>
      </w:tr>
    </w:tbl>
    <w:p>
      <w:pPr>
        <w:spacing w:line="560" w:lineRule="exact"/>
        <w:ind w:firstLine="240" w:firstLineChars="100"/>
        <w:jc w:val="both"/>
        <w:textAlignment w:val="center"/>
        <w:rPr>
          <w:rFonts w:ascii="Times New Roman" w:cs="Times New Roman"/>
          <w:sz w:val="24"/>
          <w:szCs w:val="24"/>
        </w:rPr>
      </w:pPr>
      <w:r>
        <w:rPr>
          <w:rFonts w:hint="eastAsia" w:ascii="Times New Roman" w:cs="Times New Roman"/>
          <w:sz w:val="24"/>
          <w:szCs w:val="24"/>
        </w:rPr>
        <w:t>（备注：评审小组成员各自评审后，再采用算术平均方法计算各供应商的综合得分。）</w:t>
      </w:r>
    </w:p>
    <w:p>
      <w:pPr>
        <w:pStyle w:val="10"/>
        <w:spacing w:before="145"/>
        <w:ind w:left="559"/>
        <w:rPr>
          <w:sz w:val="24"/>
          <w:szCs w:val="24"/>
        </w:rPr>
      </w:pPr>
      <w:r>
        <w:rPr>
          <w:sz w:val="24"/>
          <w:szCs w:val="24"/>
        </w:rPr>
        <w:t>5、</w:t>
      </w:r>
      <w:r>
        <w:rPr>
          <w:rFonts w:hint="eastAsia"/>
          <w:sz w:val="24"/>
          <w:szCs w:val="24"/>
          <w:lang w:val="en-US"/>
        </w:rPr>
        <w:t>推荐中标</w:t>
      </w:r>
    </w:p>
    <w:p>
      <w:pPr>
        <w:pStyle w:val="10"/>
        <w:spacing w:before="11"/>
        <w:rPr>
          <w:sz w:val="24"/>
          <w:szCs w:val="24"/>
        </w:rPr>
      </w:pPr>
    </w:p>
    <w:p>
      <w:pPr>
        <w:pStyle w:val="34"/>
        <w:numPr>
          <w:ilvl w:val="1"/>
          <w:numId w:val="5"/>
        </w:numPr>
        <w:tabs>
          <w:tab w:val="left" w:pos="932"/>
        </w:tabs>
        <w:spacing w:line="496" w:lineRule="auto"/>
        <w:ind w:right="399" w:firstLine="420"/>
        <w:rPr>
          <w:sz w:val="24"/>
          <w:szCs w:val="24"/>
        </w:rPr>
      </w:pPr>
      <w:r>
        <w:rPr>
          <w:sz w:val="24"/>
          <w:szCs w:val="24"/>
        </w:rPr>
        <w:t>本次项目采用综合评分法评标，</w:t>
      </w:r>
      <w:r>
        <w:rPr>
          <w:rFonts w:hint="eastAsia"/>
          <w:sz w:val="24"/>
          <w:szCs w:val="24"/>
        </w:rPr>
        <w:t>采购人</w:t>
      </w:r>
      <w:r>
        <w:rPr>
          <w:sz w:val="24"/>
          <w:szCs w:val="24"/>
        </w:rPr>
        <w:t>将把合同授予被确定为实质上响应招标文件的要求并有履行合同能力的排名最靠前的投标供应商。</w:t>
      </w:r>
    </w:p>
    <w:p>
      <w:pPr>
        <w:pStyle w:val="34"/>
        <w:numPr>
          <w:ilvl w:val="1"/>
          <w:numId w:val="5"/>
        </w:numPr>
        <w:tabs>
          <w:tab w:val="left" w:pos="927"/>
        </w:tabs>
        <w:spacing w:before="4"/>
        <w:ind w:left="926" w:hanging="368"/>
        <w:rPr>
          <w:sz w:val="24"/>
          <w:szCs w:val="24"/>
        </w:rPr>
      </w:pPr>
      <w:r>
        <w:rPr>
          <w:rFonts w:hint="eastAsia"/>
          <w:sz w:val="24"/>
          <w:szCs w:val="24"/>
        </w:rPr>
        <w:t>采购人</w:t>
      </w:r>
      <w:r>
        <w:rPr>
          <w:sz w:val="24"/>
          <w:szCs w:val="24"/>
        </w:rPr>
        <w:t>按照评标委员会推荐的中标候选供应商顺序确定中标单位。</w:t>
      </w:r>
    </w:p>
    <w:p>
      <w:pPr>
        <w:pStyle w:val="10"/>
        <w:spacing w:before="11"/>
        <w:rPr>
          <w:sz w:val="24"/>
          <w:szCs w:val="24"/>
        </w:rPr>
      </w:pPr>
    </w:p>
    <w:p>
      <w:pPr>
        <w:pStyle w:val="34"/>
        <w:numPr>
          <w:ilvl w:val="1"/>
          <w:numId w:val="5"/>
        </w:numPr>
        <w:tabs>
          <w:tab w:val="left" w:pos="932"/>
        </w:tabs>
        <w:spacing w:line="496" w:lineRule="auto"/>
        <w:ind w:right="399" w:firstLine="420"/>
        <w:rPr>
          <w:sz w:val="24"/>
          <w:szCs w:val="24"/>
        </w:rPr>
      </w:pPr>
      <w:r>
        <w:rPr>
          <w:sz w:val="24"/>
          <w:szCs w:val="24"/>
        </w:rPr>
        <w:t>出现下列情形之一的，</w:t>
      </w:r>
      <w:r>
        <w:rPr>
          <w:rFonts w:hint="eastAsia"/>
          <w:sz w:val="24"/>
          <w:szCs w:val="24"/>
        </w:rPr>
        <w:t>采购人</w:t>
      </w:r>
      <w:r>
        <w:rPr>
          <w:sz w:val="24"/>
          <w:szCs w:val="24"/>
        </w:rPr>
        <w:t>可以与排位在中标供应商之后第一位的中标候选人签订采购合同，也可以重新组织采购。</w:t>
      </w:r>
    </w:p>
    <w:p>
      <w:pPr>
        <w:pStyle w:val="34"/>
        <w:numPr>
          <w:ilvl w:val="0"/>
          <w:numId w:val="6"/>
        </w:numPr>
        <w:tabs>
          <w:tab w:val="left" w:pos="1086"/>
        </w:tabs>
        <w:spacing w:before="5"/>
        <w:rPr>
          <w:sz w:val="24"/>
          <w:szCs w:val="24"/>
        </w:rPr>
      </w:pPr>
      <w:r>
        <w:rPr>
          <w:sz w:val="24"/>
          <w:szCs w:val="24"/>
        </w:rPr>
        <w:t>中标供应商因自身原因放弃中标成交或因不可抗力不能履行合同的；</w:t>
      </w:r>
    </w:p>
    <w:p>
      <w:pPr>
        <w:pStyle w:val="10"/>
        <w:spacing w:before="10"/>
        <w:rPr>
          <w:sz w:val="24"/>
          <w:szCs w:val="24"/>
        </w:rPr>
      </w:pPr>
    </w:p>
    <w:p>
      <w:pPr>
        <w:pStyle w:val="34"/>
        <w:numPr>
          <w:ilvl w:val="0"/>
          <w:numId w:val="6"/>
        </w:numPr>
        <w:tabs>
          <w:tab w:val="left" w:pos="1088"/>
        </w:tabs>
        <w:spacing w:line="496" w:lineRule="auto"/>
        <w:ind w:left="139" w:right="399" w:firstLine="420"/>
        <w:rPr>
          <w:sz w:val="24"/>
          <w:szCs w:val="24"/>
        </w:rPr>
      </w:pPr>
      <w:r>
        <w:rPr>
          <w:sz w:val="24"/>
          <w:szCs w:val="24"/>
        </w:rPr>
        <w:t>经质疑，评标委员会或</w:t>
      </w:r>
      <w:r>
        <w:rPr>
          <w:rFonts w:hint="eastAsia"/>
          <w:sz w:val="24"/>
          <w:szCs w:val="24"/>
        </w:rPr>
        <w:t>采购代理机构</w:t>
      </w:r>
      <w:r>
        <w:rPr>
          <w:sz w:val="24"/>
          <w:szCs w:val="24"/>
        </w:rPr>
        <w:t>审查确认因中标供应商在本次采购活动中存在违法违规行为或其他原因使质疑成立的。</w:t>
      </w:r>
    </w:p>
    <w:p>
      <w:pPr>
        <w:pStyle w:val="10"/>
        <w:spacing w:before="5"/>
        <w:ind w:left="559"/>
        <w:rPr>
          <w:sz w:val="24"/>
          <w:szCs w:val="24"/>
        </w:rPr>
      </w:pPr>
      <w:r>
        <w:rPr>
          <w:sz w:val="24"/>
          <w:szCs w:val="24"/>
        </w:rPr>
        <w:t>6、废标条款：在招标采购中，出现下列情形之一的，应予废标：</w:t>
      </w:r>
    </w:p>
    <w:p>
      <w:pPr>
        <w:pStyle w:val="34"/>
        <w:tabs>
          <w:tab w:val="left" w:pos="1086"/>
        </w:tabs>
        <w:spacing w:before="5"/>
        <w:ind w:left="559"/>
        <w:rPr>
          <w:sz w:val="24"/>
          <w:szCs w:val="24"/>
        </w:rPr>
      </w:pPr>
    </w:p>
    <w:p>
      <w:pPr>
        <w:pStyle w:val="34"/>
        <w:numPr>
          <w:ilvl w:val="0"/>
          <w:numId w:val="7"/>
        </w:numPr>
        <w:tabs>
          <w:tab w:val="left" w:pos="1086"/>
        </w:tabs>
        <w:spacing w:before="5"/>
        <w:rPr>
          <w:sz w:val="24"/>
          <w:szCs w:val="24"/>
        </w:rPr>
      </w:pPr>
      <w:r>
        <w:rPr>
          <w:sz w:val="24"/>
          <w:szCs w:val="24"/>
        </w:rPr>
        <w:t>符合专业条件的供应商或者对招标文件作实质响应的投标供应商不足三家的。</w:t>
      </w:r>
    </w:p>
    <w:p>
      <w:pPr>
        <w:pStyle w:val="34"/>
        <w:tabs>
          <w:tab w:val="left" w:pos="1086"/>
        </w:tabs>
        <w:spacing w:before="5"/>
        <w:ind w:left="559"/>
        <w:rPr>
          <w:sz w:val="24"/>
          <w:szCs w:val="24"/>
        </w:rPr>
      </w:pPr>
    </w:p>
    <w:p>
      <w:pPr>
        <w:pStyle w:val="34"/>
        <w:numPr>
          <w:ilvl w:val="0"/>
          <w:numId w:val="7"/>
        </w:numPr>
        <w:tabs>
          <w:tab w:val="left" w:pos="1086"/>
        </w:tabs>
        <w:spacing w:before="5"/>
        <w:rPr>
          <w:sz w:val="24"/>
          <w:szCs w:val="24"/>
        </w:rPr>
      </w:pPr>
      <w:r>
        <w:rPr>
          <w:sz w:val="24"/>
          <w:szCs w:val="24"/>
        </w:rPr>
        <w:t>出现影响采购公正的违法、违规行为的。</w:t>
      </w:r>
    </w:p>
    <w:p>
      <w:pPr>
        <w:pStyle w:val="34"/>
        <w:tabs>
          <w:tab w:val="left" w:pos="1086"/>
        </w:tabs>
        <w:spacing w:before="5"/>
        <w:ind w:left="559"/>
        <w:rPr>
          <w:sz w:val="24"/>
          <w:szCs w:val="24"/>
        </w:rPr>
      </w:pPr>
    </w:p>
    <w:p>
      <w:pPr>
        <w:pStyle w:val="34"/>
        <w:numPr>
          <w:ilvl w:val="0"/>
          <w:numId w:val="7"/>
        </w:numPr>
        <w:tabs>
          <w:tab w:val="left" w:pos="1086"/>
        </w:tabs>
        <w:spacing w:before="5"/>
        <w:rPr>
          <w:sz w:val="24"/>
          <w:szCs w:val="24"/>
        </w:rPr>
      </w:pPr>
      <w:r>
        <w:rPr>
          <w:sz w:val="24"/>
          <w:szCs w:val="24"/>
        </w:rPr>
        <w:t>投标供应商的报价均超过了拦标价，</w:t>
      </w:r>
      <w:r>
        <w:rPr>
          <w:rFonts w:hint="eastAsia"/>
          <w:sz w:val="24"/>
          <w:szCs w:val="24"/>
        </w:rPr>
        <w:t>采购人</w:t>
      </w:r>
      <w:r>
        <w:rPr>
          <w:sz w:val="24"/>
          <w:szCs w:val="24"/>
        </w:rPr>
        <w:t>不能支付的。</w:t>
      </w:r>
    </w:p>
    <w:p>
      <w:pPr>
        <w:pStyle w:val="34"/>
        <w:tabs>
          <w:tab w:val="left" w:pos="1086"/>
        </w:tabs>
        <w:spacing w:before="5"/>
        <w:ind w:left="559"/>
        <w:rPr>
          <w:sz w:val="24"/>
          <w:szCs w:val="24"/>
        </w:rPr>
      </w:pPr>
    </w:p>
    <w:p>
      <w:pPr>
        <w:pStyle w:val="34"/>
        <w:numPr>
          <w:ilvl w:val="0"/>
          <w:numId w:val="7"/>
        </w:numPr>
        <w:tabs>
          <w:tab w:val="left" w:pos="1086"/>
        </w:tabs>
        <w:spacing w:before="5"/>
        <w:rPr>
          <w:sz w:val="24"/>
          <w:szCs w:val="24"/>
        </w:rPr>
      </w:pPr>
      <w:r>
        <w:rPr>
          <w:sz w:val="24"/>
          <w:szCs w:val="24"/>
        </w:rPr>
        <w:t>因重大变故，采购任务取消的。</w:t>
      </w:r>
    </w:p>
    <w:p>
      <w:pPr>
        <w:rPr>
          <w:sz w:val="21"/>
        </w:rPr>
        <w:sectPr>
          <w:footerReference r:id="rId6" w:type="default"/>
          <w:pgSz w:w="11911" w:h="16840"/>
          <w:pgMar w:top="1417" w:right="1020" w:bottom="1417" w:left="1020" w:header="0" w:footer="828" w:gutter="0"/>
          <w:cols w:space="0" w:num="1"/>
        </w:sectPr>
      </w:pPr>
    </w:p>
    <w:p>
      <w:pPr>
        <w:pStyle w:val="4"/>
        <w:ind w:left="0"/>
        <w:jc w:val="center"/>
      </w:pPr>
      <w:bookmarkStart w:id="89" w:name="第六章投标文件格式及构成"/>
      <w:bookmarkEnd w:id="89"/>
      <w:bookmarkStart w:id="90" w:name="_Toc6536"/>
      <w:r>
        <w:rPr>
          <w:b/>
          <w:bCs/>
        </w:rPr>
        <w:t>第六章</w:t>
      </w:r>
      <w:r>
        <w:rPr>
          <w:rFonts w:hint="eastAsia"/>
          <w:b/>
          <w:bCs/>
          <w:lang w:val="en-US"/>
        </w:rPr>
        <w:t xml:space="preserve">  </w:t>
      </w:r>
      <w:r>
        <w:rPr>
          <w:b/>
          <w:bCs/>
        </w:rPr>
        <w:t>投标文件格式及构成</w:t>
      </w:r>
      <w:bookmarkEnd w:id="90"/>
    </w:p>
    <w:p/>
    <w:p/>
    <w:p/>
    <w:p>
      <w:pPr>
        <w:jc w:val="center"/>
        <w:rPr>
          <w:sz w:val="24"/>
          <w:szCs w:val="24"/>
        </w:rPr>
      </w:pPr>
      <w:r>
        <w:rPr>
          <w:sz w:val="24"/>
          <w:szCs w:val="24"/>
        </w:rPr>
        <w:t>（此页为投标文件封面格式，制作标书时，删去本行文字）</w:t>
      </w:r>
    </w:p>
    <w:p>
      <w:pPr>
        <w:pStyle w:val="10"/>
        <w:rPr>
          <w:sz w:val="20"/>
        </w:rPr>
      </w:pPr>
    </w:p>
    <w:p>
      <w:pPr>
        <w:pStyle w:val="10"/>
        <w:rPr>
          <w:sz w:val="20"/>
        </w:rPr>
      </w:pPr>
    </w:p>
    <w:p>
      <w:pPr>
        <w:pStyle w:val="10"/>
        <w:rPr>
          <w:sz w:val="20"/>
        </w:rPr>
      </w:pPr>
    </w:p>
    <w:p>
      <w:pPr>
        <w:pStyle w:val="10"/>
        <w:rPr>
          <w:sz w:val="20"/>
        </w:rPr>
      </w:pPr>
    </w:p>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spacing w:before="2"/>
        <w:rPr>
          <w:sz w:val="17"/>
        </w:rPr>
      </w:pPr>
    </w:p>
    <w:p>
      <w:pPr>
        <w:ind w:left="950" w:right="358"/>
        <w:jc w:val="center"/>
        <w:rPr>
          <w:sz w:val="84"/>
        </w:rPr>
      </w:pPr>
      <w:r>
        <w:rPr>
          <w:sz w:val="84"/>
        </w:rPr>
        <w:t>投标文件</w:t>
      </w:r>
    </w:p>
    <w:p>
      <w:pPr>
        <w:pStyle w:val="10"/>
        <w:rPr>
          <w:sz w:val="84"/>
        </w:rPr>
      </w:pPr>
    </w:p>
    <w:p>
      <w:pPr>
        <w:pStyle w:val="10"/>
        <w:rPr>
          <w:sz w:val="30"/>
        </w:rPr>
      </w:pPr>
    </w:p>
    <w:p/>
    <w:p>
      <w:pPr>
        <w:pStyle w:val="2"/>
        <w:ind w:firstLine="480"/>
      </w:pPr>
    </w:p>
    <w:p>
      <w:pPr>
        <w:pStyle w:val="29"/>
        <w:rPr>
          <w:rFonts w:hint="default"/>
        </w:rPr>
      </w:pPr>
    </w:p>
    <w:p>
      <w:pPr>
        <w:pStyle w:val="10"/>
        <w:rPr>
          <w:sz w:val="30"/>
        </w:rPr>
      </w:pPr>
    </w:p>
    <w:p>
      <w:pPr>
        <w:pStyle w:val="10"/>
        <w:spacing w:before="4"/>
        <w:rPr>
          <w:sz w:val="35"/>
        </w:rPr>
      </w:pPr>
    </w:p>
    <w:p>
      <w:pPr>
        <w:pStyle w:val="4"/>
        <w:spacing w:before="1"/>
      </w:pPr>
      <w:bookmarkStart w:id="91" w:name="_Toc6634"/>
      <w:r>
        <w:t>项目编号:</w:t>
      </w:r>
      <w:bookmarkEnd w:id="91"/>
    </w:p>
    <w:p>
      <w:pPr>
        <w:pStyle w:val="4"/>
        <w:spacing w:before="1"/>
      </w:pPr>
      <w:bookmarkStart w:id="92" w:name="_Toc562"/>
      <w:r>
        <w:t>项目名称:</w:t>
      </w:r>
      <w:bookmarkEnd w:id="92"/>
      <w:bookmarkStart w:id="93" w:name="_Toc14670"/>
    </w:p>
    <w:p>
      <w:pPr>
        <w:pStyle w:val="4"/>
        <w:spacing w:before="1"/>
      </w:pPr>
      <w:r>
        <w:t>投标供应商名称:</w:t>
      </w:r>
      <w:r>
        <w:tab/>
      </w:r>
      <w:r>
        <w:t>（公章）</w:t>
      </w:r>
    </w:p>
    <w:p>
      <w:pPr>
        <w:pStyle w:val="4"/>
        <w:spacing w:before="1"/>
      </w:pPr>
      <w:r>
        <w:t>投标供应商地址:</w:t>
      </w:r>
      <w:bookmarkEnd w:id="93"/>
    </w:p>
    <w:p>
      <w:pPr>
        <w:pStyle w:val="4"/>
        <w:spacing w:before="1"/>
      </w:pPr>
      <w:bookmarkStart w:id="94" w:name="_Toc11153"/>
      <w:r>
        <w:t>联系人:</w:t>
      </w:r>
      <w:bookmarkEnd w:id="94"/>
    </w:p>
    <w:p>
      <w:pPr>
        <w:pStyle w:val="4"/>
        <w:spacing w:before="1"/>
      </w:pPr>
      <w:bookmarkStart w:id="95" w:name="_Toc6067"/>
      <w:r>
        <w:t>联系电话：</w:t>
      </w:r>
      <w:bookmarkEnd w:id="95"/>
    </w:p>
    <w:p>
      <w:pPr>
        <w:pStyle w:val="4"/>
        <w:spacing w:before="1"/>
        <w:sectPr>
          <w:pgSz w:w="11911" w:h="16840"/>
          <w:pgMar w:top="1417" w:right="1020" w:bottom="1417" w:left="1020" w:header="0" w:footer="828" w:gutter="0"/>
          <w:cols w:space="0" w:num="1"/>
        </w:sectPr>
      </w:pPr>
    </w:p>
    <w:p>
      <w:pPr>
        <w:pStyle w:val="5"/>
        <w:spacing w:before="103"/>
      </w:pPr>
      <w:bookmarkStart w:id="96" w:name="目录"/>
      <w:bookmarkEnd w:id="96"/>
    </w:p>
    <w:p>
      <w:pPr>
        <w:pStyle w:val="5"/>
        <w:spacing w:before="103"/>
      </w:pPr>
      <w:r>
        <w:t>目录</w:t>
      </w:r>
    </w:p>
    <w:p>
      <w:pPr>
        <w:pStyle w:val="10"/>
        <w:rPr>
          <w:b/>
          <w:sz w:val="28"/>
        </w:rPr>
      </w:pPr>
    </w:p>
    <w:p>
      <w:pPr>
        <w:pStyle w:val="7"/>
        <w:numPr>
          <w:ilvl w:val="0"/>
          <w:numId w:val="8"/>
        </w:numPr>
        <w:tabs>
          <w:tab w:val="left" w:leader="middleDot" w:pos="5992"/>
        </w:tabs>
        <w:spacing w:before="213"/>
      </w:pPr>
      <w:r>
        <w:t>投标函</w:t>
      </w:r>
      <w:r>
        <w:tab/>
      </w:r>
      <w:r>
        <w:t>（）</w:t>
      </w:r>
    </w:p>
    <w:p>
      <w:pPr>
        <w:pStyle w:val="7"/>
        <w:numPr>
          <w:ilvl w:val="0"/>
          <w:numId w:val="8"/>
        </w:numPr>
        <w:tabs>
          <w:tab w:val="left" w:leader="middleDot" w:pos="5992"/>
        </w:tabs>
        <w:spacing w:before="213"/>
      </w:pPr>
      <w:r>
        <w:rPr>
          <w:rFonts w:hint="eastAsia"/>
        </w:rPr>
        <w:t>详细报价清单</w:t>
      </w:r>
      <w:r>
        <w:tab/>
      </w:r>
      <w:r>
        <w:t>（）</w:t>
      </w:r>
    </w:p>
    <w:p>
      <w:pPr>
        <w:pStyle w:val="7"/>
        <w:tabs>
          <w:tab w:val="left" w:leader="middleDot" w:pos="5992"/>
        </w:tabs>
        <w:spacing w:before="151"/>
      </w:pPr>
      <w:r>
        <w:t>（</w:t>
      </w:r>
      <w:r>
        <w:rPr>
          <w:rFonts w:hint="eastAsia"/>
          <w:lang w:val="en-US"/>
        </w:rPr>
        <w:t>三</w:t>
      </w:r>
      <w:r>
        <w:t>）</w:t>
      </w:r>
      <w:r>
        <w:rPr>
          <w:rFonts w:hint="eastAsia"/>
        </w:rPr>
        <w:t>承诺函</w:t>
      </w:r>
      <w:r>
        <w:tab/>
      </w:r>
      <w:r>
        <w:t>（）</w:t>
      </w:r>
    </w:p>
    <w:p>
      <w:pPr>
        <w:pStyle w:val="7"/>
        <w:tabs>
          <w:tab w:val="left" w:leader="middleDot" w:pos="5992"/>
        </w:tabs>
      </w:pPr>
      <w:r>
        <w:t>（</w:t>
      </w:r>
      <w:r>
        <w:rPr>
          <w:rFonts w:hint="eastAsia"/>
          <w:lang w:val="en-US"/>
        </w:rPr>
        <w:t>四</w:t>
      </w:r>
      <w:r>
        <w:t>）</w:t>
      </w:r>
      <w:r>
        <w:rPr>
          <w:rFonts w:hint="eastAsia"/>
          <w:lang w:val="en-US"/>
        </w:rPr>
        <w:t>商务、技术规格偏差表</w:t>
      </w:r>
      <w:r>
        <w:tab/>
      </w:r>
      <w:r>
        <w:t>（）</w:t>
      </w:r>
    </w:p>
    <w:p>
      <w:pPr>
        <w:pStyle w:val="7"/>
        <w:tabs>
          <w:tab w:val="left" w:leader="middleDot" w:pos="5992"/>
        </w:tabs>
        <w:spacing w:before="150"/>
      </w:pPr>
      <w:r>
        <w:t>（</w:t>
      </w:r>
      <w:r>
        <w:rPr>
          <w:rFonts w:hint="eastAsia"/>
          <w:lang w:val="en-US"/>
        </w:rPr>
        <w:t>五</w:t>
      </w:r>
      <w:r>
        <w:t>）投标供应商基本情况表</w:t>
      </w:r>
      <w:r>
        <w:tab/>
      </w:r>
      <w:r>
        <w:t>（）</w:t>
      </w:r>
    </w:p>
    <w:p>
      <w:pPr>
        <w:pStyle w:val="7"/>
        <w:tabs>
          <w:tab w:val="left" w:leader="middleDot" w:pos="5992"/>
        </w:tabs>
      </w:pPr>
      <w:r>
        <w:t>（</w:t>
      </w:r>
      <w:r>
        <w:rPr>
          <w:rFonts w:hint="eastAsia"/>
          <w:lang w:val="en-US"/>
        </w:rPr>
        <w:t>六</w:t>
      </w:r>
      <w:r>
        <w:t>）法定代表人身份证明书</w:t>
      </w:r>
      <w:r>
        <w:tab/>
      </w:r>
      <w:r>
        <w:t>（）</w:t>
      </w:r>
    </w:p>
    <w:p>
      <w:pPr>
        <w:pStyle w:val="7"/>
        <w:tabs>
          <w:tab w:val="left" w:leader="middleDot" w:pos="5992"/>
        </w:tabs>
        <w:spacing w:before="153"/>
      </w:pPr>
      <w:r>
        <w:t>（</w:t>
      </w:r>
      <w:r>
        <w:rPr>
          <w:rFonts w:hint="eastAsia"/>
          <w:lang w:val="en-US"/>
        </w:rPr>
        <w:t>七</w:t>
      </w:r>
      <w:r>
        <w:t>）法定代表人授权书</w:t>
      </w:r>
      <w:r>
        <w:tab/>
      </w:r>
      <w:r>
        <w:t>（）</w:t>
      </w:r>
    </w:p>
    <w:p>
      <w:pPr>
        <w:pStyle w:val="7"/>
        <w:tabs>
          <w:tab w:val="left" w:leader="middleDot" w:pos="5992"/>
        </w:tabs>
        <w:spacing w:before="153"/>
      </w:pPr>
      <w:r>
        <w:t>（</w:t>
      </w:r>
      <w:r>
        <w:rPr>
          <w:rFonts w:hint="eastAsia"/>
          <w:lang w:val="en-US"/>
        </w:rPr>
        <w:t>八</w:t>
      </w:r>
      <w:r>
        <w:t>）</w:t>
      </w:r>
      <w:r>
        <w:rPr>
          <w:rFonts w:hint="eastAsia"/>
        </w:rPr>
        <w:t>资格、符合性及响应性评审内容</w:t>
      </w:r>
      <w:r>
        <w:tab/>
      </w:r>
      <w:r>
        <w:t>（）</w:t>
      </w:r>
    </w:p>
    <w:p>
      <w:pPr>
        <w:pStyle w:val="7"/>
        <w:tabs>
          <w:tab w:val="left" w:leader="middleDot" w:pos="5992"/>
        </w:tabs>
        <w:spacing w:before="153"/>
      </w:pPr>
      <w:r>
        <w:t>（</w:t>
      </w:r>
      <w:r>
        <w:rPr>
          <w:rFonts w:hint="eastAsia"/>
          <w:lang w:val="en-US"/>
        </w:rPr>
        <w:t>九</w:t>
      </w:r>
      <w:r>
        <w:t>）</w:t>
      </w:r>
      <w:r>
        <w:rPr>
          <w:rFonts w:hint="eastAsia"/>
          <w:lang w:val="en-US"/>
        </w:rPr>
        <w:t>投标供应商信用承诺书</w:t>
      </w:r>
      <w:r>
        <w:tab/>
      </w:r>
      <w:r>
        <w:t>（）</w:t>
      </w:r>
    </w:p>
    <w:p>
      <w:pPr>
        <w:pStyle w:val="7"/>
        <w:tabs>
          <w:tab w:val="left" w:leader="middleDot" w:pos="5992"/>
        </w:tabs>
        <w:spacing w:before="150"/>
      </w:pPr>
      <w:r>
        <w:t>（十）技术部分</w:t>
      </w:r>
      <w:r>
        <w:tab/>
      </w:r>
      <w:r>
        <w:t>（）</w:t>
      </w:r>
    </w:p>
    <w:p>
      <w:pPr>
        <w:pStyle w:val="7"/>
        <w:tabs>
          <w:tab w:val="left" w:leader="middleDot" w:pos="5992"/>
        </w:tabs>
      </w:pPr>
      <w:r>
        <w:t>（十</w:t>
      </w:r>
      <w:r>
        <w:rPr>
          <w:rFonts w:hint="eastAsia"/>
          <w:lang w:val="en-US"/>
        </w:rPr>
        <w:t>一</w:t>
      </w:r>
      <w:r>
        <w:t>）商务部分</w:t>
      </w:r>
      <w:r>
        <w:tab/>
      </w:r>
      <w:r>
        <w:t>（）</w:t>
      </w:r>
    </w:p>
    <w:p>
      <w:pPr>
        <w:pStyle w:val="7"/>
        <w:tabs>
          <w:tab w:val="left" w:leader="middleDot" w:pos="5992"/>
        </w:tabs>
      </w:pPr>
      <w:r>
        <w:rPr>
          <w:rFonts w:hint="eastAsia"/>
        </w:rPr>
        <w:t>（十</w:t>
      </w:r>
      <w:r>
        <w:rPr>
          <w:rFonts w:hint="eastAsia"/>
          <w:lang w:val="en-US"/>
        </w:rPr>
        <w:t>二</w:t>
      </w:r>
      <w:r>
        <w:rPr>
          <w:rFonts w:hint="eastAsia"/>
        </w:rPr>
        <w:t>）其他资料</w:t>
      </w:r>
      <w:r>
        <w:tab/>
      </w:r>
      <w:r>
        <w:t>（）</w:t>
      </w:r>
    </w:p>
    <w:p>
      <w:bookmarkStart w:id="97" w:name="一、投标函"/>
      <w:bookmarkEnd w:id="97"/>
      <w:r>
        <w:br w:type="page"/>
      </w:r>
    </w:p>
    <w:p>
      <w:pPr>
        <w:jc w:val="center"/>
        <w:rPr>
          <w:b/>
          <w:bCs/>
          <w:sz w:val="24"/>
          <w:szCs w:val="24"/>
          <w:lang w:val="en-US"/>
        </w:rPr>
      </w:pPr>
      <w:r>
        <w:rPr>
          <w:rFonts w:hint="eastAsia"/>
          <w:b/>
          <w:bCs/>
          <w:sz w:val="24"/>
          <w:szCs w:val="24"/>
          <w:lang w:val="en-US"/>
        </w:rPr>
        <w:t>一、投标函</w:t>
      </w:r>
    </w:p>
    <w:p>
      <w:pPr>
        <w:pStyle w:val="10"/>
        <w:spacing w:before="10"/>
        <w:rPr>
          <w:b/>
          <w:sz w:val="26"/>
        </w:rPr>
      </w:pPr>
    </w:p>
    <w:p>
      <w:pPr>
        <w:pStyle w:val="8"/>
        <w:tabs>
          <w:tab w:val="left" w:pos="3633"/>
        </w:tabs>
        <w:spacing w:before="76"/>
        <w:ind w:left="693"/>
      </w:pPr>
      <w:r>
        <w:rPr>
          <w:rFonts w:ascii="Times New Roman" w:eastAsia="Times New Roman"/>
          <w:u w:val="single"/>
        </w:rPr>
        <w:tab/>
      </w:r>
      <w:r>
        <w:rPr>
          <w:rFonts w:ascii="Times New Roman" w:eastAsia="Times New Roman"/>
        </w:rPr>
        <w:t>_</w:t>
      </w:r>
      <w:r>
        <w:t>（</w:t>
      </w:r>
      <w:r>
        <w:rPr>
          <w:rFonts w:hint="eastAsia"/>
        </w:rPr>
        <w:t>采购人</w:t>
      </w:r>
      <w:r>
        <w:t>名称）：</w:t>
      </w:r>
    </w:p>
    <w:p>
      <w:pPr>
        <w:pStyle w:val="8"/>
        <w:spacing w:before="120" w:line="400" w:lineRule="exact"/>
        <w:ind w:left="652" w:right="233" w:firstLine="480"/>
      </w:pPr>
      <w:r>
        <w:rPr>
          <w:spacing w:val="3"/>
        </w:rPr>
        <w:t>我方全面研究了 “</w:t>
      </w:r>
      <w:r>
        <w:rPr>
          <w:rFonts w:hint="eastAsia"/>
          <w:spacing w:val="3"/>
          <w:u w:val="single"/>
          <w:lang w:val="en-US"/>
        </w:rPr>
        <w:t xml:space="preserve">            </w:t>
      </w:r>
      <w:r>
        <w:rPr>
          <w:rFonts w:hint="eastAsia"/>
          <w:spacing w:val="3"/>
          <w:u w:val="single"/>
        </w:rPr>
        <w:t>”</w:t>
      </w:r>
      <w:r>
        <w:rPr>
          <w:rFonts w:hint="eastAsia"/>
          <w:spacing w:val="3"/>
        </w:rPr>
        <w:t>（</w:t>
      </w:r>
      <w:r>
        <w:rPr>
          <w:rFonts w:hint="eastAsia"/>
          <w:spacing w:val="3"/>
          <w:lang w:val="en-US"/>
        </w:rPr>
        <w:t>项目名称</w:t>
      </w:r>
      <w:r>
        <w:rPr>
          <w:rFonts w:hint="eastAsia"/>
          <w:spacing w:val="3"/>
        </w:rPr>
        <w:t>）</w:t>
      </w:r>
      <w:r>
        <w:rPr>
          <w:spacing w:val="3"/>
        </w:rPr>
        <w:t>招标文件，决定参加贵单位组织的本项目投标。我方授权</w:t>
      </w:r>
      <w:r>
        <w:rPr>
          <w:rFonts w:hint="eastAsia"/>
          <w:spacing w:val="3"/>
          <w:u w:val="single"/>
          <w:lang w:val="en-US"/>
        </w:rPr>
        <w:t xml:space="preserve">   </w:t>
      </w:r>
      <w:r>
        <w:rPr>
          <w:spacing w:val="3"/>
        </w:rPr>
        <w:t>（姓名、职务）代表我方</w:t>
      </w:r>
      <w:r>
        <w:rPr>
          <w:rFonts w:hint="eastAsia"/>
          <w:spacing w:val="3"/>
          <w:u w:val="single"/>
          <w:lang w:val="en-US"/>
        </w:rPr>
        <w:t xml:space="preserve">    </w:t>
      </w:r>
      <w:r>
        <w:rPr>
          <w:spacing w:val="3"/>
        </w:rPr>
        <w:t>（投标供应商的名称）全权</w:t>
      </w:r>
      <w:r>
        <w:t>处理本项目投标的有关事宜。</w:t>
      </w:r>
    </w:p>
    <w:p>
      <w:pPr>
        <w:pStyle w:val="8"/>
        <w:spacing w:before="121" w:line="400" w:lineRule="exact"/>
        <w:ind w:left="652" w:right="233" w:firstLine="480"/>
      </w:pPr>
      <w:r>
        <w:rPr>
          <w:rFonts w:hint="eastAsia"/>
        </w:rPr>
        <w:t>1、我方自愿按照招标文件规定的各项要求向采购人提供所需货物及服务。</w:t>
      </w:r>
    </w:p>
    <w:p>
      <w:pPr>
        <w:pStyle w:val="8"/>
        <w:spacing w:before="121" w:line="400" w:lineRule="exact"/>
        <w:ind w:left="652" w:right="233" w:firstLine="480"/>
        <w:rPr>
          <w:u w:val="single"/>
        </w:rPr>
      </w:pPr>
      <w:r>
        <w:rPr>
          <w:rFonts w:hint="eastAsia"/>
        </w:rPr>
        <w:t>2、我方自愿按照招标文件规定的各项要求向招标人提供所需货物（服务），总投标价为人民币</w:t>
      </w:r>
      <w:r>
        <w:rPr>
          <w:rFonts w:hint="eastAsia"/>
          <w:u w:val="single"/>
        </w:rPr>
        <w:t xml:space="preserve">       </w:t>
      </w:r>
      <w:r>
        <w:rPr>
          <w:rFonts w:hint="eastAsia"/>
        </w:rPr>
        <w:t>元（大写：    ）。合同履行期限:</w:t>
      </w:r>
      <w:r>
        <w:rPr>
          <w:rFonts w:hint="eastAsia"/>
          <w:u w:val="single"/>
        </w:rPr>
        <w:t xml:space="preserve">    </w:t>
      </w:r>
      <w:r>
        <w:rPr>
          <w:rFonts w:hint="eastAsia"/>
          <w:u w:val="single"/>
          <w:lang w:val="en-US"/>
        </w:rPr>
        <w:t>180天内完成实施并通过验收</w:t>
      </w:r>
      <w:r>
        <w:rPr>
          <w:rFonts w:hint="eastAsia"/>
          <w:u w:val="single"/>
        </w:rPr>
        <w:t>。</w:t>
      </w:r>
    </w:p>
    <w:p>
      <w:pPr>
        <w:pStyle w:val="8"/>
        <w:spacing w:before="121" w:line="400" w:lineRule="exact"/>
        <w:ind w:left="652" w:right="233" w:firstLine="480"/>
      </w:pPr>
      <w:r>
        <w:rPr>
          <w:rFonts w:hint="eastAsia"/>
        </w:rPr>
        <w:t>3、我方同意按照招标文件的要求，交纳人民币</w:t>
      </w:r>
      <w:r>
        <w:rPr>
          <w:rFonts w:hint="eastAsia"/>
          <w:lang w:val="en-US"/>
        </w:rPr>
        <w:t xml:space="preserve"> </w:t>
      </w:r>
      <w:r>
        <w:rPr>
          <w:rFonts w:hint="eastAsia"/>
          <w:u w:val="single"/>
          <w:lang w:val="en-US"/>
        </w:rPr>
        <w:t xml:space="preserve">     </w:t>
      </w:r>
      <w:r>
        <w:rPr>
          <w:rFonts w:hint="eastAsia"/>
        </w:rPr>
        <w:t>万元（大写：</w:t>
      </w:r>
      <w:r>
        <w:rPr>
          <w:rFonts w:hint="eastAsia"/>
          <w:lang w:val="en-US"/>
        </w:rPr>
        <w:t xml:space="preserve"> </w:t>
      </w:r>
      <w:r>
        <w:rPr>
          <w:rFonts w:hint="eastAsia"/>
        </w:rPr>
        <w:t>）的投标保证金。</w:t>
      </w:r>
    </w:p>
    <w:p>
      <w:pPr>
        <w:pStyle w:val="8"/>
        <w:numPr>
          <w:ilvl w:val="1"/>
          <w:numId w:val="9"/>
        </w:numPr>
        <w:tabs>
          <w:tab w:val="left" w:pos="1734"/>
        </w:tabs>
        <w:spacing w:before="122" w:line="400" w:lineRule="exact"/>
        <w:ind w:hanging="602"/>
      </w:pPr>
      <w:r>
        <w:t>如果我方在投标有效期内撤回投标；</w:t>
      </w:r>
    </w:p>
    <w:p>
      <w:pPr>
        <w:pStyle w:val="8"/>
        <w:numPr>
          <w:ilvl w:val="1"/>
          <w:numId w:val="9"/>
        </w:numPr>
        <w:tabs>
          <w:tab w:val="left" w:pos="1734"/>
        </w:tabs>
        <w:spacing w:before="125" w:line="400" w:lineRule="exact"/>
        <w:ind w:hanging="602"/>
      </w:pPr>
      <w:r>
        <w:t>我方提供了虚假响应招标文件的投标文件；</w:t>
      </w:r>
    </w:p>
    <w:p>
      <w:pPr>
        <w:pStyle w:val="8"/>
        <w:numPr>
          <w:ilvl w:val="1"/>
          <w:numId w:val="9"/>
        </w:numPr>
        <w:tabs>
          <w:tab w:val="left" w:pos="1734"/>
        </w:tabs>
        <w:spacing w:before="122" w:line="400" w:lineRule="exact"/>
        <w:ind w:hanging="602"/>
      </w:pPr>
      <w:r>
        <w:t>在投标过程中有违规违纪行为；</w:t>
      </w:r>
    </w:p>
    <w:p>
      <w:pPr>
        <w:pStyle w:val="8"/>
        <w:numPr>
          <w:ilvl w:val="1"/>
          <w:numId w:val="9"/>
        </w:numPr>
        <w:tabs>
          <w:tab w:val="left" w:pos="1734"/>
        </w:tabs>
        <w:spacing w:before="125" w:line="400" w:lineRule="exact"/>
        <w:ind w:left="652" w:right="233" w:firstLine="480"/>
      </w:pPr>
      <w:r>
        <w:rPr>
          <w:spacing w:val="-1"/>
        </w:rPr>
        <w:t>我方在投标有效期内收到中标通知书后，由于我方原因未能按照招标文</w:t>
      </w:r>
      <w:r>
        <w:t>件要求提交履约保证金或与</w:t>
      </w:r>
      <w:r>
        <w:rPr>
          <w:rFonts w:hint="eastAsia"/>
        </w:rPr>
        <w:t>采购人</w:t>
      </w:r>
      <w:r>
        <w:t>签订并履行合同。</w:t>
      </w:r>
    </w:p>
    <w:p>
      <w:pPr>
        <w:pStyle w:val="8"/>
        <w:spacing w:before="120" w:line="400" w:lineRule="exact"/>
        <w:ind w:left="1132"/>
      </w:pPr>
      <w:r>
        <w:rPr>
          <w:rFonts w:ascii="Times New Roman" w:eastAsia="Times New Roman"/>
        </w:rPr>
        <w:t>4</w:t>
      </w:r>
      <w:r>
        <w:t>、我方为本项目提交的</w:t>
      </w:r>
      <w:r>
        <w:rPr>
          <w:rFonts w:hint="eastAsia" w:ascii="Times New Roman"/>
        </w:rPr>
        <w:t>加密的投标文件上传壹份，电子U盘壹份</w:t>
      </w:r>
    </w:p>
    <w:p>
      <w:pPr>
        <w:pStyle w:val="8"/>
        <w:spacing w:before="124" w:line="400" w:lineRule="exact"/>
        <w:ind w:left="652" w:right="233" w:firstLine="480"/>
      </w:pPr>
      <w:r>
        <w:rPr>
          <w:rFonts w:ascii="Times New Roman" w:eastAsia="Times New Roman"/>
        </w:rPr>
        <w:t>5</w:t>
      </w:r>
      <w:r>
        <w:t>、我方愿意提供</w:t>
      </w:r>
      <w:r>
        <w:rPr>
          <w:rFonts w:hint="eastAsia"/>
        </w:rPr>
        <w:t>采购人</w:t>
      </w:r>
      <w:r>
        <w:t>可能另外要求的，与投标有关的文件资料，并保证我方已提供和将要提供的文件资料是真实、准确的。</w:t>
      </w:r>
    </w:p>
    <w:p>
      <w:pPr>
        <w:pStyle w:val="8"/>
        <w:spacing w:before="121" w:line="400" w:lineRule="exact"/>
        <w:ind w:left="1132"/>
      </w:pPr>
      <w:r>
        <w:rPr>
          <w:rFonts w:ascii="Times New Roman" w:eastAsia="Times New Roman"/>
        </w:rPr>
        <w:t>6</w:t>
      </w:r>
      <w:r>
        <w:t>、我方完全理解</w:t>
      </w:r>
      <w:r>
        <w:rPr>
          <w:rFonts w:hint="eastAsia"/>
        </w:rPr>
        <w:t>采购人</w:t>
      </w:r>
      <w:r>
        <w:t>不一定将合同授予最低报价的投标供应商的行为。</w:t>
      </w:r>
    </w:p>
    <w:p>
      <w:pPr>
        <w:pStyle w:val="10"/>
        <w:rPr>
          <w:sz w:val="26"/>
        </w:rPr>
      </w:pPr>
    </w:p>
    <w:p>
      <w:pPr>
        <w:pStyle w:val="8"/>
        <w:spacing w:before="187"/>
        <w:ind w:left="1132"/>
      </w:pPr>
      <w:r>
        <w:t>投标供应商：（盖章）</w:t>
      </w:r>
    </w:p>
    <w:p>
      <w:pPr>
        <w:pStyle w:val="8"/>
        <w:spacing w:before="125" w:line="336" w:lineRule="auto"/>
        <w:ind w:left="1132" w:right="3720"/>
      </w:pPr>
      <w:r>
        <w:t xml:space="preserve">法定代表人或委托代理人（签字或盖章）： </w:t>
      </w:r>
    </w:p>
    <w:p>
      <w:pPr>
        <w:pStyle w:val="8"/>
        <w:spacing w:before="125" w:line="336" w:lineRule="auto"/>
        <w:ind w:left="1132" w:right="3720"/>
      </w:pPr>
      <w:r>
        <w:t>通讯地址：</w:t>
      </w:r>
    </w:p>
    <w:p>
      <w:pPr>
        <w:pStyle w:val="8"/>
        <w:spacing w:line="336" w:lineRule="auto"/>
        <w:ind w:left="1132" w:right="7080"/>
        <w:jc w:val="both"/>
        <w:rPr>
          <w:spacing w:val="-4"/>
        </w:rPr>
      </w:pPr>
      <w:r>
        <w:rPr>
          <w:spacing w:val="-4"/>
        </w:rPr>
        <w:t xml:space="preserve">邮政编码： </w:t>
      </w:r>
    </w:p>
    <w:p>
      <w:pPr>
        <w:pStyle w:val="8"/>
        <w:spacing w:line="336" w:lineRule="auto"/>
        <w:ind w:left="1132" w:right="7080"/>
        <w:jc w:val="both"/>
        <w:rPr>
          <w:spacing w:val="-4"/>
        </w:rPr>
      </w:pPr>
      <w:r>
        <w:rPr>
          <w:spacing w:val="-4"/>
        </w:rPr>
        <w:t>联系电话：</w:t>
      </w:r>
    </w:p>
    <w:p>
      <w:pPr>
        <w:pStyle w:val="8"/>
        <w:spacing w:line="336" w:lineRule="auto"/>
        <w:ind w:left="1132" w:right="7080"/>
        <w:jc w:val="both"/>
      </w:pPr>
      <w:r>
        <w:t>传真：</w:t>
      </w:r>
    </w:p>
    <w:p>
      <w:pPr>
        <w:pStyle w:val="8"/>
        <w:spacing w:before="2"/>
        <w:ind w:left="1132"/>
      </w:pPr>
      <w:r>
        <w:t>日期：</w:t>
      </w:r>
    </w:p>
    <w:p>
      <w:pPr>
        <w:sectPr>
          <w:pgSz w:w="11911" w:h="16840"/>
          <w:pgMar w:top="1417" w:right="1020" w:bottom="1417" w:left="1020" w:header="0" w:footer="828" w:gutter="0"/>
          <w:cols w:space="0" w:num="1"/>
        </w:sectPr>
      </w:pPr>
    </w:p>
    <w:p>
      <w:pPr>
        <w:numPr>
          <w:ilvl w:val="0"/>
          <w:numId w:val="2"/>
        </w:numPr>
        <w:jc w:val="center"/>
        <w:rPr>
          <w:sz w:val="24"/>
          <w:szCs w:val="24"/>
          <w:lang w:val="en-US"/>
        </w:rPr>
      </w:pPr>
      <w:r>
        <w:rPr>
          <w:rFonts w:hint="eastAsia"/>
          <w:b/>
          <w:bCs/>
          <w:sz w:val="24"/>
          <w:szCs w:val="24"/>
          <w:lang w:val="en-US"/>
        </w:rPr>
        <w:t>详细报价清单</w:t>
      </w:r>
    </w:p>
    <w:p>
      <w:pPr>
        <w:pStyle w:val="8"/>
        <w:ind w:left="453"/>
      </w:pPr>
    </w:p>
    <w:p>
      <w:pPr>
        <w:pStyle w:val="8"/>
        <w:ind w:left="453"/>
      </w:pPr>
      <w:r>
        <w:t>投标供应商名称：</w:t>
      </w:r>
      <w:r>
        <w:rPr>
          <w:rFonts w:hint="eastAsia"/>
          <w:lang w:val="en-US"/>
        </w:rPr>
        <w:t xml:space="preserve">                                      </w:t>
      </w:r>
      <w:r>
        <w:t>招标编号：</w:t>
      </w:r>
    </w:p>
    <w:p>
      <w:pPr>
        <w:rPr>
          <w:b/>
          <w:bCs/>
          <w:sz w:val="24"/>
          <w:szCs w:val="24"/>
          <w:lang w:val="en-US"/>
        </w:rPr>
      </w:pPr>
    </w:p>
    <w:tbl>
      <w:tblPr>
        <w:tblStyle w:val="24"/>
        <w:tblW w:w="10235"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9"/>
        <w:gridCol w:w="1414"/>
        <w:gridCol w:w="1046"/>
        <w:gridCol w:w="1033"/>
        <w:gridCol w:w="1059"/>
        <w:gridCol w:w="1439"/>
        <w:gridCol w:w="1539"/>
        <w:gridCol w:w="20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679" w:type="dxa"/>
            <w:vAlign w:val="center"/>
          </w:tcPr>
          <w:p>
            <w:pPr>
              <w:jc w:val="center"/>
              <w:rPr>
                <w:kern w:val="2"/>
                <w:sz w:val="24"/>
                <w:szCs w:val="24"/>
              </w:rPr>
            </w:pPr>
            <w:r>
              <w:rPr>
                <w:rFonts w:hint="eastAsia"/>
                <w:b/>
                <w:bCs/>
                <w:sz w:val="24"/>
                <w:szCs w:val="24"/>
                <w:lang w:val="en-US"/>
              </w:rPr>
              <w:br w:type="page"/>
            </w:r>
            <w:r>
              <w:rPr>
                <w:kern w:val="2"/>
                <w:sz w:val="24"/>
                <w:szCs w:val="24"/>
              </w:rPr>
              <w:t>编号</w:t>
            </w:r>
          </w:p>
        </w:tc>
        <w:tc>
          <w:tcPr>
            <w:tcW w:w="1414" w:type="dxa"/>
            <w:vAlign w:val="center"/>
          </w:tcPr>
          <w:p>
            <w:pPr>
              <w:pStyle w:val="35"/>
              <w:spacing w:before="145"/>
              <w:ind w:right="252"/>
              <w:jc w:val="center"/>
              <w:rPr>
                <w:kern w:val="2"/>
                <w:sz w:val="24"/>
                <w:szCs w:val="24"/>
              </w:rPr>
            </w:pPr>
            <w:r>
              <w:rPr>
                <w:rFonts w:hint="eastAsia"/>
                <w:kern w:val="2"/>
                <w:sz w:val="24"/>
                <w:szCs w:val="24"/>
                <w:lang w:val="en-US"/>
              </w:rPr>
              <w:t>名称</w:t>
            </w:r>
          </w:p>
        </w:tc>
        <w:tc>
          <w:tcPr>
            <w:tcW w:w="1046" w:type="dxa"/>
            <w:vAlign w:val="center"/>
          </w:tcPr>
          <w:p>
            <w:pPr>
              <w:pStyle w:val="35"/>
              <w:spacing w:before="109"/>
              <w:jc w:val="both"/>
              <w:rPr>
                <w:kern w:val="2"/>
                <w:sz w:val="24"/>
                <w:szCs w:val="24"/>
                <w:lang w:val="en-US"/>
              </w:rPr>
            </w:pPr>
            <w:r>
              <w:rPr>
                <w:rFonts w:hint="eastAsia"/>
                <w:kern w:val="2"/>
                <w:sz w:val="24"/>
                <w:szCs w:val="24"/>
                <w:lang w:val="en-US"/>
              </w:rPr>
              <w:t>品牌/技术规格参数</w:t>
            </w:r>
          </w:p>
        </w:tc>
        <w:tc>
          <w:tcPr>
            <w:tcW w:w="1033" w:type="dxa"/>
            <w:tcBorders>
              <w:right w:val="single" w:color="auto" w:sz="4" w:space="0"/>
            </w:tcBorders>
            <w:vAlign w:val="center"/>
          </w:tcPr>
          <w:p>
            <w:pPr>
              <w:pStyle w:val="35"/>
              <w:spacing w:before="109"/>
              <w:ind w:left="445"/>
              <w:jc w:val="both"/>
              <w:rPr>
                <w:kern w:val="2"/>
                <w:sz w:val="24"/>
                <w:szCs w:val="24"/>
                <w:lang w:val="en-US"/>
              </w:rPr>
            </w:pPr>
            <w:r>
              <w:rPr>
                <w:rFonts w:hint="eastAsia"/>
                <w:kern w:val="2"/>
                <w:sz w:val="24"/>
                <w:szCs w:val="24"/>
                <w:lang w:val="en-US"/>
              </w:rPr>
              <w:t>数量</w:t>
            </w:r>
          </w:p>
        </w:tc>
        <w:tc>
          <w:tcPr>
            <w:tcW w:w="1059" w:type="dxa"/>
            <w:tcBorders>
              <w:left w:val="single" w:color="auto" w:sz="4" w:space="0"/>
              <w:right w:val="single" w:color="auto" w:sz="4" w:space="0"/>
            </w:tcBorders>
            <w:vAlign w:val="center"/>
          </w:tcPr>
          <w:p>
            <w:pPr>
              <w:pStyle w:val="35"/>
              <w:spacing w:before="109"/>
              <w:ind w:left="445"/>
              <w:jc w:val="center"/>
              <w:rPr>
                <w:kern w:val="2"/>
                <w:sz w:val="24"/>
                <w:szCs w:val="24"/>
                <w:lang w:val="en-US"/>
              </w:rPr>
            </w:pPr>
            <w:r>
              <w:rPr>
                <w:rFonts w:hint="eastAsia"/>
                <w:kern w:val="2"/>
                <w:sz w:val="24"/>
                <w:szCs w:val="24"/>
                <w:lang w:val="en-US"/>
              </w:rPr>
              <w:t>单位</w:t>
            </w:r>
          </w:p>
        </w:tc>
        <w:tc>
          <w:tcPr>
            <w:tcW w:w="1439" w:type="dxa"/>
            <w:tcBorders>
              <w:left w:val="single" w:color="auto" w:sz="4" w:space="0"/>
              <w:right w:val="single" w:color="auto" w:sz="4" w:space="0"/>
            </w:tcBorders>
            <w:vAlign w:val="center"/>
          </w:tcPr>
          <w:p>
            <w:pPr>
              <w:pStyle w:val="35"/>
              <w:spacing w:before="109"/>
              <w:ind w:left="445"/>
              <w:jc w:val="center"/>
              <w:rPr>
                <w:kern w:val="2"/>
                <w:sz w:val="24"/>
                <w:szCs w:val="24"/>
                <w:lang w:val="en-US"/>
              </w:rPr>
            </w:pPr>
            <w:r>
              <w:rPr>
                <w:rFonts w:hint="eastAsia"/>
                <w:kern w:val="2"/>
                <w:sz w:val="24"/>
                <w:szCs w:val="24"/>
                <w:lang w:val="en-US"/>
              </w:rPr>
              <w:t>单价</w:t>
            </w:r>
          </w:p>
        </w:tc>
        <w:tc>
          <w:tcPr>
            <w:tcW w:w="1539" w:type="dxa"/>
            <w:tcBorders>
              <w:left w:val="single" w:color="auto" w:sz="4" w:space="0"/>
            </w:tcBorders>
            <w:vAlign w:val="center"/>
          </w:tcPr>
          <w:p>
            <w:pPr>
              <w:pStyle w:val="35"/>
              <w:spacing w:before="109"/>
              <w:ind w:left="445"/>
              <w:jc w:val="center"/>
              <w:rPr>
                <w:kern w:val="2"/>
                <w:sz w:val="24"/>
                <w:szCs w:val="24"/>
                <w:lang w:val="en-US"/>
              </w:rPr>
            </w:pPr>
            <w:r>
              <w:rPr>
                <w:rFonts w:hint="eastAsia"/>
                <w:kern w:val="2"/>
                <w:sz w:val="24"/>
                <w:szCs w:val="24"/>
                <w:lang w:val="en-US"/>
              </w:rPr>
              <w:t>合价</w:t>
            </w:r>
          </w:p>
        </w:tc>
        <w:tc>
          <w:tcPr>
            <w:tcW w:w="2026" w:type="dxa"/>
            <w:tcBorders>
              <w:left w:val="single" w:color="auto" w:sz="4" w:space="0"/>
            </w:tcBorders>
            <w:vAlign w:val="center"/>
          </w:tcPr>
          <w:p>
            <w:pPr>
              <w:pStyle w:val="35"/>
              <w:spacing w:before="109"/>
              <w:ind w:left="445"/>
              <w:jc w:val="center"/>
              <w:rPr>
                <w:kern w:val="2"/>
                <w:sz w:val="24"/>
                <w:szCs w:val="24"/>
                <w:lang w:val="en-US"/>
              </w:rPr>
            </w:pPr>
            <w:r>
              <w:rPr>
                <w:rFonts w:hint="eastAsia"/>
                <w:kern w:val="2"/>
                <w:sz w:val="24"/>
                <w:szCs w:val="24"/>
                <w:lang w:val="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679" w:type="dxa"/>
            <w:vAlign w:val="center"/>
          </w:tcPr>
          <w:p>
            <w:pPr>
              <w:pStyle w:val="35"/>
              <w:jc w:val="center"/>
              <w:rPr>
                <w:rFonts w:ascii="Times New Roman"/>
                <w:kern w:val="2"/>
                <w:sz w:val="24"/>
                <w:szCs w:val="24"/>
              </w:rPr>
            </w:pPr>
            <w:r>
              <w:rPr>
                <w:rFonts w:hint="eastAsia" w:ascii="Times New Roman"/>
                <w:kern w:val="2"/>
                <w:sz w:val="24"/>
                <w:szCs w:val="24"/>
              </w:rPr>
              <w:t>1</w:t>
            </w:r>
          </w:p>
        </w:tc>
        <w:tc>
          <w:tcPr>
            <w:tcW w:w="1414" w:type="dxa"/>
            <w:vAlign w:val="center"/>
          </w:tcPr>
          <w:p>
            <w:pPr>
              <w:pStyle w:val="35"/>
              <w:jc w:val="center"/>
              <w:rPr>
                <w:rFonts w:ascii="Times New Roman"/>
                <w:kern w:val="2"/>
                <w:sz w:val="24"/>
                <w:szCs w:val="24"/>
              </w:rPr>
            </w:pPr>
          </w:p>
        </w:tc>
        <w:tc>
          <w:tcPr>
            <w:tcW w:w="1046" w:type="dxa"/>
          </w:tcPr>
          <w:p>
            <w:pPr>
              <w:pStyle w:val="35"/>
              <w:rPr>
                <w:rFonts w:ascii="Times New Roman"/>
                <w:kern w:val="2"/>
                <w:sz w:val="24"/>
                <w:szCs w:val="24"/>
              </w:rPr>
            </w:pPr>
          </w:p>
        </w:tc>
        <w:tc>
          <w:tcPr>
            <w:tcW w:w="1033" w:type="dxa"/>
            <w:tcBorders>
              <w:right w:val="single" w:color="auto" w:sz="4" w:space="0"/>
            </w:tcBorders>
          </w:tcPr>
          <w:p>
            <w:pPr>
              <w:pStyle w:val="35"/>
              <w:spacing w:before="109"/>
              <w:rPr>
                <w:kern w:val="2"/>
                <w:sz w:val="24"/>
                <w:szCs w:val="24"/>
              </w:rPr>
            </w:pPr>
          </w:p>
        </w:tc>
        <w:tc>
          <w:tcPr>
            <w:tcW w:w="1059" w:type="dxa"/>
            <w:tcBorders>
              <w:left w:val="single" w:color="auto" w:sz="4" w:space="0"/>
              <w:right w:val="single" w:color="auto" w:sz="4" w:space="0"/>
            </w:tcBorders>
          </w:tcPr>
          <w:p>
            <w:pPr>
              <w:pStyle w:val="35"/>
              <w:spacing w:before="109"/>
              <w:ind w:left="445"/>
              <w:rPr>
                <w:kern w:val="2"/>
                <w:sz w:val="24"/>
                <w:szCs w:val="24"/>
              </w:rPr>
            </w:pPr>
          </w:p>
        </w:tc>
        <w:tc>
          <w:tcPr>
            <w:tcW w:w="1439" w:type="dxa"/>
            <w:tcBorders>
              <w:left w:val="single" w:color="auto" w:sz="4" w:space="0"/>
              <w:right w:val="single" w:color="auto" w:sz="4" w:space="0"/>
            </w:tcBorders>
          </w:tcPr>
          <w:p>
            <w:pPr>
              <w:pStyle w:val="35"/>
              <w:spacing w:before="109"/>
              <w:ind w:left="445"/>
              <w:rPr>
                <w:kern w:val="2"/>
                <w:sz w:val="24"/>
                <w:szCs w:val="24"/>
              </w:rPr>
            </w:pPr>
          </w:p>
        </w:tc>
        <w:tc>
          <w:tcPr>
            <w:tcW w:w="1539" w:type="dxa"/>
            <w:tcBorders>
              <w:left w:val="single" w:color="auto" w:sz="4" w:space="0"/>
            </w:tcBorders>
          </w:tcPr>
          <w:p>
            <w:pPr>
              <w:pStyle w:val="35"/>
              <w:spacing w:before="109"/>
              <w:ind w:left="445"/>
              <w:rPr>
                <w:kern w:val="2"/>
                <w:sz w:val="24"/>
                <w:szCs w:val="24"/>
              </w:rPr>
            </w:pPr>
          </w:p>
        </w:tc>
        <w:tc>
          <w:tcPr>
            <w:tcW w:w="2026" w:type="dxa"/>
            <w:tcBorders>
              <w:left w:val="single" w:color="auto" w:sz="4" w:space="0"/>
            </w:tcBorders>
          </w:tcPr>
          <w:p>
            <w:pPr>
              <w:pStyle w:val="35"/>
              <w:spacing w:before="109"/>
              <w:ind w:left="445"/>
              <w:rPr>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679" w:type="dxa"/>
            <w:vAlign w:val="center"/>
          </w:tcPr>
          <w:p>
            <w:pPr>
              <w:pStyle w:val="35"/>
              <w:jc w:val="center"/>
              <w:rPr>
                <w:rFonts w:ascii="Times New Roman"/>
                <w:kern w:val="2"/>
                <w:sz w:val="24"/>
                <w:szCs w:val="24"/>
                <w:lang w:val="en-US"/>
              </w:rPr>
            </w:pPr>
            <w:r>
              <w:rPr>
                <w:rFonts w:hint="eastAsia" w:ascii="Times New Roman"/>
                <w:kern w:val="2"/>
                <w:sz w:val="24"/>
                <w:szCs w:val="24"/>
                <w:lang w:val="en-US"/>
              </w:rPr>
              <w:t>2</w:t>
            </w:r>
          </w:p>
        </w:tc>
        <w:tc>
          <w:tcPr>
            <w:tcW w:w="1414" w:type="dxa"/>
            <w:vAlign w:val="center"/>
          </w:tcPr>
          <w:p>
            <w:pPr>
              <w:pStyle w:val="35"/>
              <w:jc w:val="center"/>
              <w:rPr>
                <w:rFonts w:ascii="Times New Roman"/>
                <w:kern w:val="2"/>
                <w:sz w:val="24"/>
                <w:szCs w:val="24"/>
              </w:rPr>
            </w:pPr>
          </w:p>
        </w:tc>
        <w:tc>
          <w:tcPr>
            <w:tcW w:w="1046" w:type="dxa"/>
          </w:tcPr>
          <w:p>
            <w:pPr>
              <w:pStyle w:val="35"/>
              <w:rPr>
                <w:rFonts w:ascii="Times New Roman"/>
                <w:kern w:val="2"/>
                <w:sz w:val="24"/>
                <w:szCs w:val="24"/>
              </w:rPr>
            </w:pPr>
          </w:p>
        </w:tc>
        <w:tc>
          <w:tcPr>
            <w:tcW w:w="1033" w:type="dxa"/>
            <w:tcBorders>
              <w:right w:val="single" w:color="auto" w:sz="4" w:space="0"/>
            </w:tcBorders>
          </w:tcPr>
          <w:p>
            <w:pPr>
              <w:pStyle w:val="35"/>
              <w:rPr>
                <w:rFonts w:ascii="Times New Roman"/>
                <w:kern w:val="2"/>
                <w:sz w:val="24"/>
                <w:szCs w:val="24"/>
              </w:rPr>
            </w:pPr>
          </w:p>
        </w:tc>
        <w:tc>
          <w:tcPr>
            <w:tcW w:w="1059" w:type="dxa"/>
            <w:tcBorders>
              <w:left w:val="single" w:color="auto" w:sz="4" w:space="0"/>
              <w:right w:val="single" w:color="auto" w:sz="4" w:space="0"/>
            </w:tcBorders>
          </w:tcPr>
          <w:p>
            <w:pPr>
              <w:pStyle w:val="35"/>
              <w:rPr>
                <w:rFonts w:ascii="Times New Roman"/>
                <w:kern w:val="2"/>
                <w:sz w:val="24"/>
                <w:szCs w:val="24"/>
              </w:rPr>
            </w:pPr>
          </w:p>
        </w:tc>
        <w:tc>
          <w:tcPr>
            <w:tcW w:w="1439" w:type="dxa"/>
            <w:tcBorders>
              <w:left w:val="single" w:color="auto" w:sz="4" w:space="0"/>
              <w:right w:val="single" w:color="auto" w:sz="4" w:space="0"/>
            </w:tcBorders>
          </w:tcPr>
          <w:p>
            <w:pPr>
              <w:pStyle w:val="35"/>
              <w:rPr>
                <w:rFonts w:ascii="Times New Roman"/>
                <w:kern w:val="2"/>
                <w:sz w:val="24"/>
                <w:szCs w:val="24"/>
              </w:rPr>
            </w:pPr>
          </w:p>
        </w:tc>
        <w:tc>
          <w:tcPr>
            <w:tcW w:w="1539" w:type="dxa"/>
            <w:tcBorders>
              <w:left w:val="single" w:color="auto" w:sz="4" w:space="0"/>
            </w:tcBorders>
          </w:tcPr>
          <w:p>
            <w:pPr>
              <w:pStyle w:val="35"/>
              <w:rPr>
                <w:rFonts w:ascii="Times New Roman"/>
                <w:kern w:val="2"/>
                <w:sz w:val="24"/>
                <w:szCs w:val="24"/>
              </w:rPr>
            </w:pPr>
          </w:p>
        </w:tc>
        <w:tc>
          <w:tcPr>
            <w:tcW w:w="2026" w:type="dxa"/>
            <w:tcBorders>
              <w:left w:val="single" w:color="auto" w:sz="4" w:space="0"/>
            </w:tcBorders>
          </w:tcPr>
          <w:p>
            <w:pPr>
              <w:pStyle w:val="35"/>
              <w:rPr>
                <w:rFonts w:ascii="Times New Roman"/>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679" w:type="dxa"/>
            <w:vAlign w:val="center"/>
          </w:tcPr>
          <w:p>
            <w:pPr>
              <w:pStyle w:val="35"/>
              <w:jc w:val="center"/>
              <w:rPr>
                <w:rFonts w:ascii="Times New Roman"/>
                <w:kern w:val="2"/>
                <w:sz w:val="24"/>
                <w:szCs w:val="24"/>
                <w:lang w:val="en-US"/>
              </w:rPr>
            </w:pPr>
            <w:r>
              <w:rPr>
                <w:rFonts w:hint="eastAsia" w:ascii="Times New Roman"/>
                <w:kern w:val="2"/>
                <w:sz w:val="24"/>
                <w:szCs w:val="24"/>
                <w:lang w:val="en-US"/>
              </w:rPr>
              <w:t>3</w:t>
            </w:r>
          </w:p>
        </w:tc>
        <w:tc>
          <w:tcPr>
            <w:tcW w:w="1414" w:type="dxa"/>
            <w:vAlign w:val="center"/>
          </w:tcPr>
          <w:p>
            <w:pPr>
              <w:pStyle w:val="35"/>
              <w:jc w:val="center"/>
              <w:rPr>
                <w:rFonts w:ascii="Times New Roman"/>
                <w:kern w:val="2"/>
                <w:sz w:val="24"/>
                <w:szCs w:val="24"/>
              </w:rPr>
            </w:pPr>
          </w:p>
        </w:tc>
        <w:tc>
          <w:tcPr>
            <w:tcW w:w="1046" w:type="dxa"/>
          </w:tcPr>
          <w:p>
            <w:pPr>
              <w:pStyle w:val="35"/>
              <w:rPr>
                <w:rFonts w:ascii="Times New Roman"/>
                <w:kern w:val="2"/>
                <w:sz w:val="24"/>
                <w:szCs w:val="24"/>
              </w:rPr>
            </w:pPr>
          </w:p>
        </w:tc>
        <w:tc>
          <w:tcPr>
            <w:tcW w:w="1033" w:type="dxa"/>
            <w:tcBorders>
              <w:right w:val="single" w:color="auto" w:sz="4" w:space="0"/>
            </w:tcBorders>
          </w:tcPr>
          <w:p>
            <w:pPr>
              <w:pStyle w:val="35"/>
              <w:rPr>
                <w:rFonts w:ascii="Times New Roman"/>
                <w:kern w:val="2"/>
                <w:sz w:val="24"/>
                <w:szCs w:val="24"/>
              </w:rPr>
            </w:pPr>
          </w:p>
        </w:tc>
        <w:tc>
          <w:tcPr>
            <w:tcW w:w="1059" w:type="dxa"/>
            <w:tcBorders>
              <w:left w:val="single" w:color="auto" w:sz="4" w:space="0"/>
              <w:right w:val="single" w:color="auto" w:sz="4" w:space="0"/>
            </w:tcBorders>
          </w:tcPr>
          <w:p>
            <w:pPr>
              <w:pStyle w:val="35"/>
              <w:rPr>
                <w:rFonts w:ascii="Times New Roman"/>
                <w:kern w:val="2"/>
                <w:sz w:val="24"/>
                <w:szCs w:val="24"/>
              </w:rPr>
            </w:pPr>
          </w:p>
        </w:tc>
        <w:tc>
          <w:tcPr>
            <w:tcW w:w="1439" w:type="dxa"/>
            <w:tcBorders>
              <w:left w:val="single" w:color="auto" w:sz="4" w:space="0"/>
              <w:right w:val="single" w:color="auto" w:sz="4" w:space="0"/>
            </w:tcBorders>
          </w:tcPr>
          <w:p>
            <w:pPr>
              <w:pStyle w:val="35"/>
              <w:rPr>
                <w:rFonts w:ascii="Times New Roman"/>
                <w:kern w:val="2"/>
                <w:sz w:val="24"/>
                <w:szCs w:val="24"/>
              </w:rPr>
            </w:pPr>
          </w:p>
        </w:tc>
        <w:tc>
          <w:tcPr>
            <w:tcW w:w="1539" w:type="dxa"/>
            <w:tcBorders>
              <w:left w:val="single" w:color="auto" w:sz="4" w:space="0"/>
            </w:tcBorders>
          </w:tcPr>
          <w:p>
            <w:pPr>
              <w:pStyle w:val="35"/>
              <w:rPr>
                <w:rFonts w:ascii="Times New Roman"/>
                <w:kern w:val="2"/>
                <w:sz w:val="24"/>
                <w:szCs w:val="24"/>
              </w:rPr>
            </w:pPr>
          </w:p>
        </w:tc>
        <w:tc>
          <w:tcPr>
            <w:tcW w:w="2026" w:type="dxa"/>
            <w:tcBorders>
              <w:left w:val="single" w:color="auto" w:sz="4" w:space="0"/>
            </w:tcBorders>
          </w:tcPr>
          <w:p>
            <w:pPr>
              <w:pStyle w:val="35"/>
              <w:rPr>
                <w:rFonts w:ascii="Times New Roman"/>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679" w:type="dxa"/>
            <w:vAlign w:val="center"/>
          </w:tcPr>
          <w:p>
            <w:pPr>
              <w:pStyle w:val="35"/>
              <w:jc w:val="center"/>
              <w:rPr>
                <w:rFonts w:ascii="Times New Roman"/>
                <w:kern w:val="2"/>
                <w:sz w:val="24"/>
                <w:szCs w:val="24"/>
                <w:lang w:val="en-US"/>
              </w:rPr>
            </w:pPr>
            <w:r>
              <w:rPr>
                <w:rFonts w:hint="eastAsia" w:ascii="Times New Roman"/>
                <w:kern w:val="2"/>
                <w:sz w:val="24"/>
                <w:szCs w:val="24"/>
                <w:lang w:val="en-US"/>
              </w:rPr>
              <w:t>4</w:t>
            </w:r>
          </w:p>
        </w:tc>
        <w:tc>
          <w:tcPr>
            <w:tcW w:w="1414" w:type="dxa"/>
            <w:vAlign w:val="center"/>
          </w:tcPr>
          <w:p>
            <w:pPr>
              <w:pStyle w:val="35"/>
              <w:jc w:val="center"/>
              <w:rPr>
                <w:rFonts w:ascii="Times New Roman"/>
                <w:kern w:val="2"/>
                <w:sz w:val="24"/>
                <w:szCs w:val="24"/>
              </w:rPr>
            </w:pPr>
          </w:p>
        </w:tc>
        <w:tc>
          <w:tcPr>
            <w:tcW w:w="1046" w:type="dxa"/>
          </w:tcPr>
          <w:p>
            <w:pPr>
              <w:pStyle w:val="35"/>
              <w:rPr>
                <w:rFonts w:ascii="Times New Roman"/>
                <w:kern w:val="2"/>
                <w:sz w:val="24"/>
                <w:szCs w:val="24"/>
              </w:rPr>
            </w:pPr>
          </w:p>
        </w:tc>
        <w:tc>
          <w:tcPr>
            <w:tcW w:w="1033" w:type="dxa"/>
            <w:tcBorders>
              <w:right w:val="single" w:color="auto" w:sz="4" w:space="0"/>
            </w:tcBorders>
          </w:tcPr>
          <w:p>
            <w:pPr>
              <w:pStyle w:val="35"/>
              <w:rPr>
                <w:rFonts w:ascii="Times New Roman"/>
                <w:kern w:val="2"/>
                <w:sz w:val="24"/>
                <w:szCs w:val="24"/>
              </w:rPr>
            </w:pPr>
          </w:p>
        </w:tc>
        <w:tc>
          <w:tcPr>
            <w:tcW w:w="1059" w:type="dxa"/>
            <w:tcBorders>
              <w:left w:val="single" w:color="auto" w:sz="4" w:space="0"/>
              <w:right w:val="single" w:color="auto" w:sz="4" w:space="0"/>
            </w:tcBorders>
          </w:tcPr>
          <w:p>
            <w:pPr>
              <w:pStyle w:val="35"/>
              <w:rPr>
                <w:rFonts w:ascii="Times New Roman"/>
                <w:kern w:val="2"/>
                <w:sz w:val="24"/>
                <w:szCs w:val="24"/>
              </w:rPr>
            </w:pPr>
          </w:p>
        </w:tc>
        <w:tc>
          <w:tcPr>
            <w:tcW w:w="1439" w:type="dxa"/>
            <w:tcBorders>
              <w:left w:val="single" w:color="auto" w:sz="4" w:space="0"/>
              <w:right w:val="single" w:color="auto" w:sz="4" w:space="0"/>
            </w:tcBorders>
          </w:tcPr>
          <w:p>
            <w:pPr>
              <w:pStyle w:val="35"/>
              <w:rPr>
                <w:rFonts w:ascii="Times New Roman"/>
                <w:kern w:val="2"/>
                <w:sz w:val="24"/>
                <w:szCs w:val="24"/>
              </w:rPr>
            </w:pPr>
          </w:p>
        </w:tc>
        <w:tc>
          <w:tcPr>
            <w:tcW w:w="1539" w:type="dxa"/>
            <w:tcBorders>
              <w:left w:val="single" w:color="auto" w:sz="4" w:space="0"/>
            </w:tcBorders>
          </w:tcPr>
          <w:p>
            <w:pPr>
              <w:pStyle w:val="35"/>
              <w:rPr>
                <w:rFonts w:ascii="Times New Roman"/>
                <w:kern w:val="2"/>
                <w:sz w:val="24"/>
                <w:szCs w:val="24"/>
              </w:rPr>
            </w:pPr>
          </w:p>
        </w:tc>
        <w:tc>
          <w:tcPr>
            <w:tcW w:w="2026" w:type="dxa"/>
            <w:tcBorders>
              <w:left w:val="single" w:color="auto" w:sz="4" w:space="0"/>
            </w:tcBorders>
          </w:tcPr>
          <w:p>
            <w:pPr>
              <w:pStyle w:val="35"/>
              <w:rPr>
                <w:rFonts w:ascii="Times New Roman"/>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679" w:type="dxa"/>
            <w:vAlign w:val="center"/>
          </w:tcPr>
          <w:p>
            <w:pPr>
              <w:pStyle w:val="35"/>
              <w:jc w:val="center"/>
              <w:rPr>
                <w:rFonts w:ascii="Times New Roman"/>
                <w:kern w:val="2"/>
                <w:sz w:val="24"/>
                <w:szCs w:val="24"/>
                <w:lang w:val="en-US"/>
              </w:rPr>
            </w:pPr>
            <w:r>
              <w:rPr>
                <w:rFonts w:ascii="Arial" w:hAnsi="Arial" w:cs="Arial"/>
                <w:kern w:val="2"/>
                <w:sz w:val="24"/>
                <w:szCs w:val="24"/>
                <w:lang w:val="en-US"/>
              </w:rPr>
              <w:t>……</w:t>
            </w:r>
          </w:p>
        </w:tc>
        <w:tc>
          <w:tcPr>
            <w:tcW w:w="1414" w:type="dxa"/>
            <w:vAlign w:val="center"/>
          </w:tcPr>
          <w:p>
            <w:pPr>
              <w:pStyle w:val="35"/>
              <w:jc w:val="center"/>
              <w:rPr>
                <w:rFonts w:ascii="Times New Roman"/>
                <w:kern w:val="2"/>
                <w:sz w:val="24"/>
                <w:szCs w:val="24"/>
              </w:rPr>
            </w:pPr>
          </w:p>
        </w:tc>
        <w:tc>
          <w:tcPr>
            <w:tcW w:w="1046" w:type="dxa"/>
          </w:tcPr>
          <w:p>
            <w:pPr>
              <w:pStyle w:val="35"/>
              <w:rPr>
                <w:rFonts w:ascii="Times New Roman"/>
                <w:kern w:val="2"/>
                <w:sz w:val="24"/>
                <w:szCs w:val="24"/>
              </w:rPr>
            </w:pPr>
          </w:p>
        </w:tc>
        <w:tc>
          <w:tcPr>
            <w:tcW w:w="1033" w:type="dxa"/>
            <w:tcBorders>
              <w:right w:val="single" w:color="auto" w:sz="4" w:space="0"/>
            </w:tcBorders>
          </w:tcPr>
          <w:p>
            <w:pPr>
              <w:pStyle w:val="35"/>
              <w:rPr>
                <w:rFonts w:ascii="Times New Roman"/>
                <w:kern w:val="2"/>
                <w:sz w:val="24"/>
                <w:szCs w:val="24"/>
              </w:rPr>
            </w:pPr>
          </w:p>
        </w:tc>
        <w:tc>
          <w:tcPr>
            <w:tcW w:w="1059" w:type="dxa"/>
            <w:tcBorders>
              <w:left w:val="single" w:color="auto" w:sz="4" w:space="0"/>
              <w:right w:val="single" w:color="auto" w:sz="4" w:space="0"/>
            </w:tcBorders>
          </w:tcPr>
          <w:p>
            <w:pPr>
              <w:pStyle w:val="35"/>
              <w:rPr>
                <w:rFonts w:ascii="Times New Roman"/>
                <w:kern w:val="2"/>
                <w:sz w:val="24"/>
                <w:szCs w:val="24"/>
              </w:rPr>
            </w:pPr>
          </w:p>
        </w:tc>
        <w:tc>
          <w:tcPr>
            <w:tcW w:w="1439" w:type="dxa"/>
            <w:tcBorders>
              <w:left w:val="single" w:color="auto" w:sz="4" w:space="0"/>
              <w:right w:val="single" w:color="auto" w:sz="4" w:space="0"/>
            </w:tcBorders>
          </w:tcPr>
          <w:p>
            <w:pPr>
              <w:pStyle w:val="35"/>
              <w:rPr>
                <w:rFonts w:ascii="Times New Roman"/>
                <w:kern w:val="2"/>
                <w:sz w:val="24"/>
                <w:szCs w:val="24"/>
              </w:rPr>
            </w:pPr>
          </w:p>
        </w:tc>
        <w:tc>
          <w:tcPr>
            <w:tcW w:w="1539" w:type="dxa"/>
            <w:tcBorders>
              <w:left w:val="single" w:color="auto" w:sz="4" w:space="0"/>
            </w:tcBorders>
          </w:tcPr>
          <w:p>
            <w:pPr>
              <w:pStyle w:val="35"/>
              <w:rPr>
                <w:rFonts w:ascii="Times New Roman"/>
                <w:kern w:val="2"/>
                <w:sz w:val="24"/>
                <w:szCs w:val="24"/>
              </w:rPr>
            </w:pPr>
          </w:p>
        </w:tc>
        <w:tc>
          <w:tcPr>
            <w:tcW w:w="2026" w:type="dxa"/>
            <w:tcBorders>
              <w:left w:val="single" w:color="auto" w:sz="4" w:space="0"/>
            </w:tcBorders>
          </w:tcPr>
          <w:p>
            <w:pPr>
              <w:pStyle w:val="35"/>
              <w:rPr>
                <w:rFonts w:ascii="Times New Roman"/>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0235" w:type="dxa"/>
            <w:gridSpan w:val="8"/>
            <w:vAlign w:val="center"/>
          </w:tcPr>
          <w:p>
            <w:pPr>
              <w:pStyle w:val="35"/>
              <w:ind w:firstLine="240" w:firstLineChars="100"/>
              <w:jc w:val="both"/>
              <w:rPr>
                <w:rFonts w:ascii="Times New Roman"/>
                <w:kern w:val="2"/>
                <w:sz w:val="24"/>
                <w:szCs w:val="24"/>
                <w:lang w:val="en-US"/>
              </w:rPr>
            </w:pPr>
            <w:r>
              <w:rPr>
                <w:rFonts w:hint="eastAsia" w:ascii="Times New Roman"/>
                <w:kern w:val="2"/>
                <w:sz w:val="24"/>
                <w:szCs w:val="24"/>
                <w:lang w:val="en-US"/>
              </w:rPr>
              <w:t>合计</w:t>
            </w:r>
          </w:p>
        </w:tc>
      </w:tr>
    </w:tbl>
    <w:p>
      <w:pPr>
        <w:rPr>
          <w:b/>
          <w:bCs/>
          <w:sz w:val="24"/>
          <w:szCs w:val="24"/>
          <w:lang w:val="en-US"/>
        </w:rPr>
      </w:pPr>
    </w:p>
    <w:p>
      <w:pPr>
        <w:pStyle w:val="8"/>
        <w:spacing w:before="2" w:line="364" w:lineRule="auto"/>
        <w:ind w:left="664" w:leftChars="302" w:right="770" w:firstLine="24" w:firstLineChars="10"/>
      </w:pPr>
      <w:r>
        <w:t>投标供应商：（盖章）</w:t>
      </w:r>
    </w:p>
    <w:p>
      <w:pPr>
        <w:pStyle w:val="8"/>
        <w:tabs>
          <w:tab w:val="left" w:pos="6600"/>
        </w:tabs>
        <w:spacing w:line="364" w:lineRule="auto"/>
        <w:ind w:left="660" w:right="2391"/>
      </w:pPr>
      <w:r>
        <w:t xml:space="preserve">法定代表人或委托代理人（签字或盖章）： </w:t>
      </w:r>
    </w:p>
    <w:p>
      <w:pPr>
        <w:pStyle w:val="8"/>
        <w:spacing w:line="364" w:lineRule="auto"/>
        <w:ind w:left="660" w:right="4782"/>
        <w:rPr>
          <w:rFonts w:ascii="Times New Roman" w:eastAsia="Times New Roman"/>
        </w:rPr>
      </w:pPr>
      <w:r>
        <w:t>日期</w:t>
      </w:r>
      <w:r>
        <w:rPr>
          <w:rFonts w:ascii="Times New Roman" w:eastAsia="Times New Roman"/>
        </w:rPr>
        <w:t>:</w:t>
      </w:r>
    </w:p>
    <w:p>
      <w:pPr>
        <w:rPr>
          <w:sz w:val="24"/>
          <w:szCs w:val="24"/>
        </w:rPr>
      </w:pPr>
    </w:p>
    <w:p>
      <w:pPr>
        <w:pStyle w:val="8"/>
        <w:spacing w:before="121" w:line="400" w:lineRule="exact"/>
        <w:ind w:left="652" w:right="233" w:firstLine="480"/>
      </w:pPr>
      <w:r>
        <w:rPr>
          <w:rFonts w:hint="eastAsia"/>
        </w:rPr>
        <w:t>注：1、投标供应商的投标报价应包</w:t>
      </w:r>
      <w:r>
        <w:rPr>
          <w:rFonts w:hint="eastAsia"/>
          <w:color w:val="000000"/>
          <w:lang w:val="en-US" w:bidi="ar"/>
        </w:rPr>
        <w:t>含运送、装卸，附发票等</w:t>
      </w:r>
      <w:r>
        <w:rPr>
          <w:rFonts w:hint="eastAsia"/>
        </w:rPr>
        <w:t>一切相关的所有费用，采购人将不再支付其他任何费用。</w:t>
      </w:r>
    </w:p>
    <w:p>
      <w:pPr>
        <w:pStyle w:val="8"/>
        <w:spacing w:before="121" w:line="400" w:lineRule="exact"/>
        <w:ind w:left="652" w:right="233" w:firstLine="480"/>
      </w:pPr>
      <w:r>
        <w:rPr>
          <w:rFonts w:hint="eastAsia"/>
        </w:rPr>
        <w:t>2、项目总报价=投标总价=  一+二+三+</w:t>
      </w:r>
      <w:r>
        <w:rPr>
          <w:rFonts w:hint="eastAsia"/>
        </w:rPr>
        <w:tab/>
      </w:r>
      <w:r>
        <w:rPr>
          <w:rFonts w:hint="eastAsia"/>
        </w:rPr>
        <w:t>。</w:t>
      </w:r>
    </w:p>
    <w:p>
      <w:pPr>
        <w:pStyle w:val="8"/>
        <w:spacing w:before="121" w:line="400" w:lineRule="exact"/>
        <w:ind w:left="652" w:right="233" w:firstLine="480"/>
        <w:rPr>
          <w:lang w:val="en-US"/>
        </w:rPr>
      </w:pPr>
      <w:r>
        <w:rPr>
          <w:rFonts w:hint="eastAsia"/>
        </w:rPr>
        <w:t>3、如投标供应商在该报价单中有漏项或不填，视为对采购人的优惠，中标后不得予以增加有关费用。</w:t>
      </w:r>
    </w:p>
    <w:p>
      <w:pPr>
        <w:jc w:val="center"/>
        <w:rPr>
          <w:lang w:val="en-US"/>
        </w:rPr>
      </w:pPr>
    </w:p>
    <w:p>
      <w:pPr>
        <w:rPr>
          <w:b/>
          <w:bCs/>
          <w:sz w:val="24"/>
          <w:szCs w:val="24"/>
          <w:lang w:val="en-US"/>
        </w:rPr>
      </w:pPr>
      <w:r>
        <w:rPr>
          <w:rFonts w:hint="eastAsia"/>
          <w:b/>
          <w:bCs/>
          <w:sz w:val="24"/>
          <w:szCs w:val="24"/>
          <w:lang w:val="en-US"/>
        </w:rPr>
        <w:br w:type="page"/>
      </w:r>
    </w:p>
    <w:p>
      <w:pPr>
        <w:jc w:val="center"/>
        <w:rPr>
          <w:b/>
          <w:bCs/>
          <w:sz w:val="24"/>
          <w:szCs w:val="24"/>
          <w:lang w:val="en-US"/>
        </w:rPr>
      </w:pPr>
      <w:r>
        <w:rPr>
          <w:rFonts w:hint="eastAsia"/>
          <w:b/>
          <w:bCs/>
          <w:sz w:val="24"/>
          <w:szCs w:val="24"/>
          <w:lang w:val="en-US"/>
        </w:rPr>
        <w:t>三、承诺函</w:t>
      </w:r>
    </w:p>
    <w:p>
      <w:pPr>
        <w:pStyle w:val="10"/>
        <w:rPr>
          <w:b/>
          <w:sz w:val="20"/>
        </w:rPr>
      </w:pPr>
    </w:p>
    <w:p>
      <w:pPr>
        <w:pStyle w:val="10"/>
        <w:rPr>
          <w:b/>
          <w:sz w:val="25"/>
          <w:lang w:val="en-US"/>
        </w:rPr>
      </w:pPr>
    </w:p>
    <w:p>
      <w:pPr>
        <w:pStyle w:val="8"/>
        <w:spacing w:before="66"/>
        <w:rPr>
          <w:rFonts w:asciiTheme="minorEastAsia" w:hAnsiTheme="minorEastAsia" w:eastAsiaTheme="minorEastAsia" w:cstheme="minorEastAsia"/>
        </w:rPr>
      </w:pPr>
      <w:r>
        <w:rPr>
          <w:rFonts w:hint="eastAsia" w:asciiTheme="minorEastAsia" w:hAnsiTheme="minorEastAsia" w:eastAsiaTheme="minorEastAsia" w:cstheme="minorEastAsia"/>
          <w:b/>
        </w:rPr>
        <w:t>致</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rPr>
        <w:t>（采购人名称）</w:t>
      </w:r>
    </w:p>
    <w:p>
      <w:pPr>
        <w:pStyle w:val="10"/>
        <w:rPr>
          <w:rFonts w:asciiTheme="minorEastAsia" w:hAnsiTheme="minorEastAsia" w:eastAsiaTheme="minorEastAsia" w:cstheme="minorEastAsia"/>
          <w:sz w:val="24"/>
          <w:szCs w:val="24"/>
        </w:rPr>
      </w:pPr>
    </w:p>
    <w:p>
      <w:pPr>
        <w:pStyle w:val="10"/>
        <w:spacing w:before="9"/>
        <w:rPr>
          <w:rFonts w:asciiTheme="minorEastAsia" w:hAnsiTheme="minorEastAsia" w:eastAsiaTheme="minorEastAsia" w:cstheme="minorEastAsia"/>
          <w:sz w:val="24"/>
          <w:szCs w:val="24"/>
        </w:rPr>
      </w:pPr>
    </w:p>
    <w:p>
      <w:pPr>
        <w:pStyle w:val="8"/>
        <w:spacing w:before="1" w:line="364" w:lineRule="auto"/>
        <w:ind w:right="233" w:firstLine="554"/>
        <w:jc w:val="both"/>
        <w:rPr>
          <w:rFonts w:asciiTheme="minorEastAsia" w:hAnsiTheme="minorEastAsia" w:eastAsiaTheme="minorEastAsia" w:cstheme="minorEastAsia"/>
        </w:rPr>
      </w:pPr>
      <w:r>
        <w:rPr>
          <w:rFonts w:hint="eastAsia" w:asciiTheme="minorEastAsia" w:hAnsiTheme="minorEastAsia" w:eastAsiaTheme="minorEastAsia" w:cstheme="minorEastAsia"/>
        </w:rPr>
        <w:t>根据《（项目名称）招标编号：》的要求，我单位的投标保证金人民币</w:t>
      </w:r>
      <w:r>
        <w:rPr>
          <w:rFonts w:hint="eastAsia" w:asciiTheme="minorEastAsia" w:hAnsiTheme="minorEastAsia" w:eastAsiaTheme="minorEastAsia" w:cstheme="minorEastAsia"/>
          <w:u w:val="single"/>
          <w:lang w:val="en-US"/>
        </w:rPr>
        <w:t xml:space="preserve">     </w:t>
      </w:r>
      <w:r>
        <w:rPr>
          <w:rFonts w:hint="eastAsia" w:asciiTheme="minorEastAsia" w:hAnsiTheme="minorEastAsia" w:eastAsiaTheme="minorEastAsia" w:cstheme="minorEastAsia"/>
        </w:rPr>
        <w:t>已按照招标文件要求递交：</w:t>
      </w:r>
    </w:p>
    <w:p>
      <w:pPr>
        <w:pStyle w:val="8"/>
        <w:spacing w:before="1" w:line="364" w:lineRule="auto"/>
        <w:ind w:right="233"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我方中标后不能提供产品测试或内容达不到招标文件要求的，你方有权全额没收该投标保证金，并拒绝签订合同追究虚假应标责任，上报相关的政府采购监督管理部门进行处理，我方完全理解和接受采购人的处理方式，对此无异议。</w:t>
      </w:r>
    </w:p>
    <w:p>
      <w:pPr>
        <w:pStyle w:val="8"/>
        <w:spacing w:before="212"/>
        <w:rPr>
          <w:rFonts w:asciiTheme="minorEastAsia" w:hAnsiTheme="minorEastAsia" w:eastAsiaTheme="minorEastAsia" w:cstheme="minorEastAsia"/>
        </w:rPr>
      </w:pPr>
      <w:r>
        <w:rPr>
          <w:rFonts w:hint="eastAsia" w:asciiTheme="minorEastAsia" w:hAnsiTheme="minorEastAsia" w:eastAsiaTheme="minorEastAsia" w:cstheme="minorEastAsia"/>
        </w:rPr>
        <w:t>投标供应商：(盖章)</w:t>
      </w:r>
    </w:p>
    <w:p>
      <w:pPr>
        <w:pStyle w:val="8"/>
        <w:spacing w:before="158" w:line="362" w:lineRule="auto"/>
        <w:ind w:right="4960"/>
        <w:rPr>
          <w:rFonts w:asciiTheme="minorEastAsia" w:hAnsiTheme="minorEastAsia" w:eastAsiaTheme="minorEastAsia" w:cstheme="minorEastAsia"/>
        </w:rPr>
      </w:pPr>
      <w:r>
        <w:rPr>
          <w:rFonts w:hint="eastAsia" w:asciiTheme="minorEastAsia" w:hAnsiTheme="minorEastAsia" w:eastAsiaTheme="minorEastAsia" w:cstheme="minorEastAsia"/>
        </w:rPr>
        <w:t xml:space="preserve">法定代表人或委托代理人：(签字或盖章) </w:t>
      </w:r>
    </w:p>
    <w:p>
      <w:pPr>
        <w:pStyle w:val="8"/>
        <w:spacing w:before="158" w:line="362" w:lineRule="auto"/>
        <w:ind w:right="4960"/>
        <w:rPr>
          <w:rFonts w:asciiTheme="minorEastAsia" w:hAnsiTheme="minorEastAsia" w:eastAsiaTheme="minorEastAsia" w:cstheme="minorEastAsia"/>
        </w:rPr>
      </w:pPr>
      <w:r>
        <w:rPr>
          <w:rFonts w:hint="eastAsia" w:asciiTheme="minorEastAsia" w:hAnsiTheme="minorEastAsia" w:eastAsiaTheme="minorEastAsia" w:cstheme="minorEastAsia"/>
        </w:rPr>
        <w:t>单位地址：</w:t>
      </w:r>
    </w:p>
    <w:p>
      <w:pPr>
        <w:pStyle w:val="8"/>
        <w:spacing w:before="5" w:line="364" w:lineRule="auto"/>
        <w:ind w:right="7999"/>
        <w:rPr>
          <w:rFonts w:asciiTheme="minorEastAsia" w:hAnsiTheme="minorEastAsia" w:eastAsiaTheme="minorEastAsia" w:cstheme="minorEastAsia"/>
          <w:spacing w:val="-4"/>
        </w:rPr>
      </w:pPr>
      <w:r>
        <w:rPr>
          <w:rFonts w:hint="eastAsia" w:asciiTheme="minorEastAsia" w:hAnsiTheme="minorEastAsia" w:eastAsiaTheme="minorEastAsia" w:cstheme="minorEastAsia"/>
          <w:spacing w:val="-4"/>
        </w:rPr>
        <w:t xml:space="preserve">邮政编码： </w:t>
      </w:r>
    </w:p>
    <w:p>
      <w:pPr>
        <w:pStyle w:val="8"/>
        <w:spacing w:before="5" w:line="364" w:lineRule="auto"/>
        <w:ind w:right="7999"/>
        <w:rPr>
          <w:rFonts w:asciiTheme="minorEastAsia" w:hAnsiTheme="minorEastAsia" w:eastAsiaTheme="minorEastAsia" w:cstheme="minorEastAsia"/>
        </w:rPr>
      </w:pPr>
      <w:r>
        <w:rPr>
          <w:rFonts w:hint="eastAsia" w:asciiTheme="minorEastAsia" w:hAnsiTheme="minorEastAsia" w:eastAsiaTheme="minorEastAsia" w:cstheme="minorEastAsia"/>
        </w:rPr>
        <w:t>电话：</w:t>
      </w:r>
    </w:p>
    <w:p>
      <w:pPr>
        <w:pStyle w:val="8"/>
        <w:spacing w:line="306" w:lineRule="exact"/>
        <w:rPr>
          <w:rFonts w:asciiTheme="minorEastAsia" w:hAnsiTheme="minorEastAsia" w:eastAsiaTheme="minorEastAsia" w:cstheme="minorEastAsia"/>
        </w:rPr>
      </w:pPr>
      <w:r>
        <w:rPr>
          <w:rFonts w:hint="eastAsia" w:asciiTheme="minorEastAsia" w:hAnsiTheme="minorEastAsia" w:eastAsiaTheme="minorEastAsia" w:cstheme="minorEastAsia"/>
        </w:rPr>
        <w:t>传真：</w:t>
      </w:r>
    </w:p>
    <w:p>
      <w:pPr>
        <w:pStyle w:val="10"/>
        <w:spacing w:before="10"/>
        <w:rPr>
          <w:rFonts w:asciiTheme="minorEastAsia" w:hAnsiTheme="minorEastAsia" w:eastAsiaTheme="minorEastAsia" w:cstheme="minorEastAsia"/>
          <w:sz w:val="24"/>
          <w:szCs w:val="24"/>
        </w:rPr>
      </w:pPr>
    </w:p>
    <w:p>
      <w:pPr>
        <w:pStyle w:val="8"/>
        <w:tabs>
          <w:tab w:val="left" w:pos="9240"/>
        </w:tabs>
        <w:spacing w:before="5" w:line="364" w:lineRule="auto"/>
        <w:ind w:right="2160"/>
        <w:rPr>
          <w:rFonts w:asciiTheme="minorEastAsia" w:hAnsiTheme="minorEastAsia" w:eastAsiaTheme="minorEastAsia" w:cstheme="minorEastAsia"/>
          <w:spacing w:val="-4"/>
        </w:rPr>
      </w:pPr>
      <w:bookmarkStart w:id="98" w:name="日期：年月日"/>
      <w:bookmarkEnd w:id="98"/>
      <w:r>
        <w:rPr>
          <w:rFonts w:hint="eastAsia" w:asciiTheme="minorEastAsia" w:hAnsiTheme="minorEastAsia" w:eastAsiaTheme="minorEastAsia" w:cstheme="minorEastAsia"/>
          <w:spacing w:val="-4"/>
        </w:rPr>
        <w:t>日期：年月日</w:t>
      </w:r>
    </w:p>
    <w:p>
      <w:pPr>
        <w:rPr>
          <w:rFonts w:ascii="黑体" w:eastAsia="黑体"/>
        </w:rPr>
      </w:pPr>
      <w:r>
        <w:rPr>
          <w:rFonts w:ascii="黑体" w:eastAsia="黑体"/>
        </w:rPr>
        <w:br w:type="page"/>
      </w:r>
    </w:p>
    <w:p>
      <w:pPr>
        <w:jc w:val="center"/>
        <w:rPr>
          <w:b/>
          <w:bCs/>
          <w:sz w:val="24"/>
          <w:szCs w:val="24"/>
          <w:lang w:val="en-US"/>
        </w:rPr>
      </w:pPr>
      <w:r>
        <w:rPr>
          <w:rFonts w:hint="eastAsia"/>
          <w:b/>
          <w:bCs/>
          <w:sz w:val="24"/>
          <w:szCs w:val="24"/>
          <w:lang w:val="en-US"/>
        </w:rPr>
        <w:t>四：商务、技术规格偏差表</w:t>
      </w:r>
    </w:p>
    <w:p>
      <w:pPr>
        <w:pStyle w:val="10"/>
        <w:rPr>
          <w:b/>
          <w:sz w:val="20"/>
        </w:rPr>
      </w:pPr>
    </w:p>
    <w:p>
      <w:pPr>
        <w:pStyle w:val="10"/>
        <w:spacing w:before="7"/>
        <w:rPr>
          <w:b/>
          <w:sz w:val="19"/>
        </w:rPr>
      </w:pPr>
    </w:p>
    <w:p>
      <w:pPr>
        <w:pStyle w:val="8"/>
        <w:spacing w:before="67"/>
        <w:ind w:left="240"/>
      </w:pPr>
      <w:r>
        <w:t>投标供应商名称：</w:t>
      </w:r>
      <w:r>
        <w:rPr>
          <w:rFonts w:hint="eastAsia"/>
          <w:lang w:val="en-US"/>
        </w:rPr>
        <w:t xml:space="preserve">                                           </w:t>
      </w:r>
      <w:r>
        <w:t>招标编号：</w:t>
      </w:r>
    </w:p>
    <w:p>
      <w:pPr>
        <w:pStyle w:val="10"/>
        <w:rPr>
          <w:sz w:val="24"/>
          <w:szCs w:val="24"/>
        </w:rPr>
      </w:pPr>
    </w:p>
    <w:tbl>
      <w:tblPr>
        <w:tblStyle w:val="24"/>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8"/>
        <w:gridCol w:w="1298"/>
        <w:gridCol w:w="2119"/>
        <w:gridCol w:w="1856"/>
        <w:gridCol w:w="759"/>
        <w:gridCol w:w="2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048" w:type="dxa"/>
          </w:tcPr>
          <w:p>
            <w:pPr>
              <w:pStyle w:val="35"/>
              <w:spacing w:before="1"/>
              <w:ind w:left="161" w:right="156"/>
              <w:jc w:val="center"/>
              <w:rPr>
                <w:kern w:val="2"/>
                <w:sz w:val="24"/>
                <w:szCs w:val="24"/>
              </w:rPr>
            </w:pPr>
            <w:r>
              <w:rPr>
                <w:kern w:val="2"/>
                <w:sz w:val="24"/>
                <w:szCs w:val="24"/>
              </w:rPr>
              <w:t>品目</w:t>
            </w:r>
          </w:p>
        </w:tc>
        <w:tc>
          <w:tcPr>
            <w:tcW w:w="1298" w:type="dxa"/>
          </w:tcPr>
          <w:p>
            <w:pPr>
              <w:pStyle w:val="35"/>
              <w:spacing w:before="1"/>
              <w:ind w:left="161" w:right="156"/>
              <w:jc w:val="center"/>
              <w:rPr>
                <w:kern w:val="2"/>
                <w:sz w:val="24"/>
                <w:szCs w:val="24"/>
              </w:rPr>
            </w:pPr>
            <w:r>
              <w:rPr>
                <w:rFonts w:hint="eastAsia"/>
                <w:kern w:val="2"/>
                <w:sz w:val="24"/>
                <w:szCs w:val="24"/>
                <w:lang w:val="en-US"/>
              </w:rPr>
              <w:t>名称</w:t>
            </w:r>
          </w:p>
        </w:tc>
        <w:tc>
          <w:tcPr>
            <w:tcW w:w="2119" w:type="dxa"/>
          </w:tcPr>
          <w:p>
            <w:pPr>
              <w:pStyle w:val="35"/>
              <w:spacing w:before="1"/>
              <w:ind w:left="161" w:right="156"/>
              <w:jc w:val="center"/>
              <w:rPr>
                <w:kern w:val="2"/>
                <w:sz w:val="24"/>
                <w:szCs w:val="24"/>
              </w:rPr>
            </w:pPr>
            <w:r>
              <w:rPr>
                <w:kern w:val="2"/>
                <w:sz w:val="24"/>
                <w:szCs w:val="24"/>
              </w:rPr>
              <w:t>招标文件</w:t>
            </w:r>
            <w:r>
              <w:rPr>
                <w:rFonts w:hint="eastAsia"/>
                <w:kern w:val="2"/>
                <w:sz w:val="24"/>
                <w:szCs w:val="24"/>
                <w:lang w:val="en-US"/>
              </w:rPr>
              <w:t>设备参数</w:t>
            </w:r>
            <w:r>
              <w:rPr>
                <w:kern w:val="2"/>
                <w:sz w:val="24"/>
                <w:szCs w:val="24"/>
              </w:rPr>
              <w:t>要求</w:t>
            </w:r>
          </w:p>
        </w:tc>
        <w:tc>
          <w:tcPr>
            <w:tcW w:w="1856" w:type="dxa"/>
          </w:tcPr>
          <w:p>
            <w:pPr>
              <w:pStyle w:val="35"/>
              <w:spacing w:before="1"/>
              <w:ind w:left="161" w:right="156"/>
              <w:jc w:val="center"/>
              <w:rPr>
                <w:kern w:val="2"/>
                <w:sz w:val="24"/>
                <w:szCs w:val="24"/>
              </w:rPr>
            </w:pPr>
            <w:r>
              <w:rPr>
                <w:kern w:val="2"/>
                <w:sz w:val="24"/>
                <w:szCs w:val="24"/>
              </w:rPr>
              <w:t>投标商技术应答</w:t>
            </w:r>
          </w:p>
        </w:tc>
        <w:tc>
          <w:tcPr>
            <w:tcW w:w="759" w:type="dxa"/>
          </w:tcPr>
          <w:p>
            <w:pPr>
              <w:pStyle w:val="35"/>
              <w:spacing w:before="1"/>
              <w:ind w:left="161" w:right="156"/>
              <w:jc w:val="center"/>
              <w:rPr>
                <w:kern w:val="2"/>
                <w:sz w:val="24"/>
                <w:szCs w:val="24"/>
              </w:rPr>
            </w:pPr>
            <w:r>
              <w:rPr>
                <w:kern w:val="2"/>
                <w:sz w:val="24"/>
                <w:szCs w:val="24"/>
              </w:rPr>
              <w:t>其他</w:t>
            </w:r>
          </w:p>
        </w:tc>
        <w:tc>
          <w:tcPr>
            <w:tcW w:w="2800" w:type="dxa"/>
          </w:tcPr>
          <w:p>
            <w:pPr>
              <w:pStyle w:val="35"/>
              <w:spacing w:before="1"/>
              <w:ind w:left="161" w:right="156"/>
              <w:jc w:val="center"/>
              <w:rPr>
                <w:kern w:val="2"/>
                <w:sz w:val="24"/>
                <w:szCs w:val="24"/>
              </w:rPr>
            </w:pPr>
            <w:r>
              <w:rPr>
                <w:kern w:val="2"/>
                <w:sz w:val="24"/>
                <w:szCs w:val="24"/>
              </w:rPr>
              <w:t>偏差说明</w:t>
            </w:r>
            <w:r>
              <w:rPr>
                <w:rFonts w:hint="eastAsia"/>
                <w:kern w:val="2"/>
                <w:sz w:val="24"/>
                <w:szCs w:val="24"/>
              </w:rPr>
              <w:t>（</w:t>
            </w:r>
            <w:r>
              <w:rPr>
                <w:rFonts w:hint="eastAsia"/>
                <w:kern w:val="2"/>
                <w:sz w:val="24"/>
                <w:szCs w:val="24"/>
                <w:lang w:val="en-US"/>
              </w:rPr>
              <w:t>填写正偏离、负偏离或无偏离</w:t>
            </w:r>
            <w:r>
              <w:rPr>
                <w:rFonts w:hint="eastAsia"/>
                <w:kern w:val="2"/>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048" w:type="dxa"/>
          </w:tcPr>
          <w:p>
            <w:pPr>
              <w:pStyle w:val="35"/>
              <w:spacing w:before="71"/>
              <w:ind w:left="8"/>
              <w:jc w:val="center"/>
              <w:rPr>
                <w:kern w:val="2"/>
                <w:sz w:val="24"/>
                <w:szCs w:val="24"/>
              </w:rPr>
            </w:pPr>
            <w:bookmarkStart w:id="99" w:name="一"/>
            <w:bookmarkEnd w:id="99"/>
            <w:r>
              <w:rPr>
                <w:w w:val="99"/>
                <w:kern w:val="2"/>
                <w:sz w:val="24"/>
                <w:szCs w:val="24"/>
              </w:rPr>
              <w:t>一</w:t>
            </w:r>
          </w:p>
        </w:tc>
        <w:tc>
          <w:tcPr>
            <w:tcW w:w="1298" w:type="dxa"/>
            <w:vAlign w:val="center"/>
          </w:tcPr>
          <w:p>
            <w:pPr>
              <w:pStyle w:val="35"/>
              <w:jc w:val="both"/>
              <w:rPr>
                <w:rFonts w:ascii="Times New Roman"/>
                <w:kern w:val="2"/>
                <w:sz w:val="24"/>
                <w:szCs w:val="24"/>
              </w:rPr>
            </w:pPr>
          </w:p>
        </w:tc>
        <w:tc>
          <w:tcPr>
            <w:tcW w:w="2119" w:type="dxa"/>
          </w:tcPr>
          <w:p>
            <w:pPr>
              <w:pStyle w:val="35"/>
              <w:rPr>
                <w:rFonts w:ascii="Times New Roman"/>
                <w:kern w:val="2"/>
                <w:sz w:val="24"/>
                <w:szCs w:val="24"/>
              </w:rPr>
            </w:pPr>
          </w:p>
        </w:tc>
        <w:tc>
          <w:tcPr>
            <w:tcW w:w="1856" w:type="dxa"/>
          </w:tcPr>
          <w:p>
            <w:pPr>
              <w:pStyle w:val="35"/>
              <w:rPr>
                <w:rFonts w:ascii="Times New Roman"/>
                <w:kern w:val="2"/>
                <w:sz w:val="24"/>
                <w:szCs w:val="24"/>
              </w:rPr>
            </w:pPr>
          </w:p>
        </w:tc>
        <w:tc>
          <w:tcPr>
            <w:tcW w:w="759" w:type="dxa"/>
          </w:tcPr>
          <w:p>
            <w:pPr>
              <w:pStyle w:val="35"/>
              <w:rPr>
                <w:rFonts w:ascii="Times New Roman"/>
                <w:kern w:val="2"/>
                <w:sz w:val="24"/>
                <w:szCs w:val="24"/>
              </w:rPr>
            </w:pPr>
          </w:p>
        </w:tc>
        <w:tc>
          <w:tcPr>
            <w:tcW w:w="2800" w:type="dxa"/>
          </w:tcPr>
          <w:p>
            <w:pPr>
              <w:pStyle w:val="35"/>
              <w:rPr>
                <w:rFonts w:ascii="Times New Roman"/>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048" w:type="dxa"/>
          </w:tcPr>
          <w:p>
            <w:pPr>
              <w:pStyle w:val="35"/>
              <w:spacing w:before="71"/>
              <w:ind w:left="8"/>
              <w:jc w:val="center"/>
              <w:rPr>
                <w:kern w:val="2"/>
                <w:sz w:val="24"/>
                <w:szCs w:val="24"/>
              </w:rPr>
            </w:pPr>
            <w:bookmarkStart w:id="100" w:name="二"/>
            <w:bookmarkEnd w:id="100"/>
            <w:r>
              <w:rPr>
                <w:kern w:val="2"/>
                <w:sz w:val="24"/>
                <w:szCs w:val="24"/>
              </w:rPr>
              <w:t>二</w:t>
            </w:r>
          </w:p>
        </w:tc>
        <w:tc>
          <w:tcPr>
            <w:tcW w:w="1298" w:type="dxa"/>
            <w:vAlign w:val="center"/>
          </w:tcPr>
          <w:p>
            <w:pPr>
              <w:pStyle w:val="35"/>
              <w:jc w:val="both"/>
              <w:rPr>
                <w:rFonts w:ascii="Times New Roman"/>
                <w:kern w:val="2"/>
                <w:sz w:val="24"/>
                <w:szCs w:val="24"/>
              </w:rPr>
            </w:pPr>
          </w:p>
        </w:tc>
        <w:tc>
          <w:tcPr>
            <w:tcW w:w="2119" w:type="dxa"/>
          </w:tcPr>
          <w:p>
            <w:pPr>
              <w:pStyle w:val="35"/>
              <w:rPr>
                <w:rFonts w:ascii="Times New Roman"/>
                <w:kern w:val="2"/>
                <w:sz w:val="24"/>
                <w:szCs w:val="24"/>
              </w:rPr>
            </w:pPr>
          </w:p>
        </w:tc>
        <w:tc>
          <w:tcPr>
            <w:tcW w:w="1856" w:type="dxa"/>
          </w:tcPr>
          <w:p>
            <w:pPr>
              <w:pStyle w:val="35"/>
              <w:rPr>
                <w:rFonts w:ascii="Times New Roman"/>
                <w:kern w:val="2"/>
                <w:sz w:val="24"/>
                <w:szCs w:val="24"/>
              </w:rPr>
            </w:pPr>
          </w:p>
        </w:tc>
        <w:tc>
          <w:tcPr>
            <w:tcW w:w="759" w:type="dxa"/>
          </w:tcPr>
          <w:p>
            <w:pPr>
              <w:pStyle w:val="35"/>
              <w:rPr>
                <w:rFonts w:ascii="Times New Roman"/>
                <w:kern w:val="2"/>
                <w:sz w:val="24"/>
                <w:szCs w:val="24"/>
              </w:rPr>
            </w:pPr>
          </w:p>
        </w:tc>
        <w:tc>
          <w:tcPr>
            <w:tcW w:w="2800" w:type="dxa"/>
          </w:tcPr>
          <w:p>
            <w:pPr>
              <w:pStyle w:val="35"/>
              <w:rPr>
                <w:rFonts w:ascii="Times New Roman"/>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048" w:type="dxa"/>
          </w:tcPr>
          <w:p>
            <w:pPr>
              <w:pStyle w:val="35"/>
              <w:spacing w:before="71"/>
              <w:ind w:left="8"/>
              <w:jc w:val="center"/>
              <w:rPr>
                <w:kern w:val="2"/>
                <w:sz w:val="24"/>
                <w:szCs w:val="24"/>
              </w:rPr>
            </w:pPr>
            <w:r>
              <w:rPr>
                <w:rFonts w:hint="eastAsia"/>
                <w:kern w:val="2"/>
                <w:sz w:val="24"/>
                <w:szCs w:val="24"/>
              </w:rPr>
              <w:t>三</w:t>
            </w:r>
          </w:p>
        </w:tc>
        <w:tc>
          <w:tcPr>
            <w:tcW w:w="1298" w:type="dxa"/>
            <w:vAlign w:val="center"/>
          </w:tcPr>
          <w:p>
            <w:pPr>
              <w:pStyle w:val="35"/>
              <w:jc w:val="both"/>
              <w:rPr>
                <w:rFonts w:ascii="Times New Roman"/>
                <w:kern w:val="2"/>
                <w:sz w:val="24"/>
                <w:szCs w:val="24"/>
              </w:rPr>
            </w:pPr>
          </w:p>
        </w:tc>
        <w:tc>
          <w:tcPr>
            <w:tcW w:w="2119" w:type="dxa"/>
          </w:tcPr>
          <w:p>
            <w:pPr>
              <w:pStyle w:val="35"/>
              <w:rPr>
                <w:rFonts w:ascii="Times New Roman"/>
                <w:kern w:val="2"/>
                <w:sz w:val="24"/>
                <w:szCs w:val="24"/>
              </w:rPr>
            </w:pPr>
          </w:p>
        </w:tc>
        <w:tc>
          <w:tcPr>
            <w:tcW w:w="1856" w:type="dxa"/>
          </w:tcPr>
          <w:p>
            <w:pPr>
              <w:pStyle w:val="35"/>
              <w:rPr>
                <w:rFonts w:ascii="Times New Roman"/>
                <w:kern w:val="2"/>
                <w:sz w:val="24"/>
                <w:szCs w:val="24"/>
              </w:rPr>
            </w:pPr>
          </w:p>
        </w:tc>
        <w:tc>
          <w:tcPr>
            <w:tcW w:w="759" w:type="dxa"/>
          </w:tcPr>
          <w:p>
            <w:pPr>
              <w:pStyle w:val="35"/>
              <w:rPr>
                <w:rFonts w:ascii="Times New Roman"/>
                <w:kern w:val="2"/>
                <w:sz w:val="24"/>
                <w:szCs w:val="24"/>
              </w:rPr>
            </w:pPr>
          </w:p>
        </w:tc>
        <w:tc>
          <w:tcPr>
            <w:tcW w:w="2800" w:type="dxa"/>
          </w:tcPr>
          <w:p>
            <w:pPr>
              <w:pStyle w:val="35"/>
              <w:rPr>
                <w:rFonts w:ascii="Times New Roman"/>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048" w:type="dxa"/>
          </w:tcPr>
          <w:p>
            <w:pPr>
              <w:pStyle w:val="35"/>
              <w:spacing w:before="71"/>
              <w:ind w:left="8"/>
              <w:jc w:val="center"/>
              <w:rPr>
                <w:kern w:val="2"/>
                <w:sz w:val="24"/>
                <w:szCs w:val="24"/>
              </w:rPr>
            </w:pPr>
            <w:r>
              <w:rPr>
                <w:rFonts w:hint="eastAsia"/>
                <w:kern w:val="2"/>
                <w:sz w:val="24"/>
                <w:szCs w:val="24"/>
              </w:rPr>
              <w:t>四</w:t>
            </w:r>
          </w:p>
        </w:tc>
        <w:tc>
          <w:tcPr>
            <w:tcW w:w="1298" w:type="dxa"/>
            <w:vAlign w:val="center"/>
          </w:tcPr>
          <w:p>
            <w:pPr>
              <w:pStyle w:val="35"/>
              <w:jc w:val="both"/>
              <w:rPr>
                <w:rFonts w:ascii="Times New Roman"/>
                <w:kern w:val="2"/>
                <w:sz w:val="24"/>
                <w:szCs w:val="24"/>
              </w:rPr>
            </w:pPr>
          </w:p>
        </w:tc>
        <w:tc>
          <w:tcPr>
            <w:tcW w:w="2119" w:type="dxa"/>
          </w:tcPr>
          <w:p>
            <w:pPr>
              <w:pStyle w:val="35"/>
              <w:rPr>
                <w:rFonts w:ascii="Times New Roman"/>
                <w:kern w:val="2"/>
                <w:sz w:val="24"/>
                <w:szCs w:val="24"/>
              </w:rPr>
            </w:pPr>
          </w:p>
        </w:tc>
        <w:tc>
          <w:tcPr>
            <w:tcW w:w="1856" w:type="dxa"/>
          </w:tcPr>
          <w:p>
            <w:pPr>
              <w:pStyle w:val="35"/>
              <w:rPr>
                <w:rFonts w:ascii="Times New Roman"/>
                <w:kern w:val="2"/>
                <w:sz w:val="24"/>
                <w:szCs w:val="24"/>
              </w:rPr>
            </w:pPr>
          </w:p>
        </w:tc>
        <w:tc>
          <w:tcPr>
            <w:tcW w:w="759" w:type="dxa"/>
          </w:tcPr>
          <w:p>
            <w:pPr>
              <w:pStyle w:val="35"/>
              <w:rPr>
                <w:rFonts w:ascii="Times New Roman"/>
                <w:kern w:val="2"/>
                <w:sz w:val="24"/>
                <w:szCs w:val="24"/>
              </w:rPr>
            </w:pPr>
          </w:p>
        </w:tc>
        <w:tc>
          <w:tcPr>
            <w:tcW w:w="2800" w:type="dxa"/>
          </w:tcPr>
          <w:p>
            <w:pPr>
              <w:pStyle w:val="35"/>
              <w:rPr>
                <w:rFonts w:ascii="Times New Roman"/>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048" w:type="dxa"/>
          </w:tcPr>
          <w:p>
            <w:pPr>
              <w:pStyle w:val="35"/>
              <w:spacing w:before="71"/>
              <w:ind w:left="8"/>
              <w:jc w:val="center"/>
              <w:rPr>
                <w:kern w:val="2"/>
                <w:sz w:val="24"/>
                <w:szCs w:val="24"/>
                <w:lang w:val="en-US"/>
              </w:rPr>
            </w:pPr>
            <w:r>
              <w:rPr>
                <w:rFonts w:hint="eastAsia"/>
                <w:kern w:val="2"/>
                <w:sz w:val="24"/>
                <w:szCs w:val="24"/>
                <w:lang w:val="en-US"/>
              </w:rPr>
              <w:t>···</w:t>
            </w:r>
          </w:p>
        </w:tc>
        <w:tc>
          <w:tcPr>
            <w:tcW w:w="1298" w:type="dxa"/>
            <w:vAlign w:val="center"/>
          </w:tcPr>
          <w:p>
            <w:pPr>
              <w:pStyle w:val="35"/>
              <w:jc w:val="both"/>
              <w:rPr>
                <w:rFonts w:ascii="Times New Roman"/>
                <w:kern w:val="2"/>
                <w:sz w:val="24"/>
                <w:szCs w:val="24"/>
              </w:rPr>
            </w:pPr>
          </w:p>
        </w:tc>
        <w:tc>
          <w:tcPr>
            <w:tcW w:w="2119" w:type="dxa"/>
          </w:tcPr>
          <w:p>
            <w:pPr>
              <w:pStyle w:val="35"/>
              <w:rPr>
                <w:rFonts w:ascii="Times New Roman"/>
                <w:kern w:val="2"/>
                <w:sz w:val="24"/>
                <w:szCs w:val="24"/>
              </w:rPr>
            </w:pPr>
          </w:p>
        </w:tc>
        <w:tc>
          <w:tcPr>
            <w:tcW w:w="1856" w:type="dxa"/>
          </w:tcPr>
          <w:p>
            <w:pPr>
              <w:pStyle w:val="35"/>
              <w:rPr>
                <w:rFonts w:ascii="Times New Roman"/>
                <w:kern w:val="2"/>
                <w:sz w:val="24"/>
                <w:szCs w:val="24"/>
              </w:rPr>
            </w:pPr>
          </w:p>
        </w:tc>
        <w:tc>
          <w:tcPr>
            <w:tcW w:w="759" w:type="dxa"/>
          </w:tcPr>
          <w:p>
            <w:pPr>
              <w:pStyle w:val="35"/>
              <w:rPr>
                <w:rFonts w:ascii="Times New Roman"/>
                <w:kern w:val="2"/>
                <w:sz w:val="24"/>
                <w:szCs w:val="24"/>
              </w:rPr>
            </w:pPr>
          </w:p>
        </w:tc>
        <w:tc>
          <w:tcPr>
            <w:tcW w:w="2800" w:type="dxa"/>
          </w:tcPr>
          <w:p>
            <w:pPr>
              <w:pStyle w:val="35"/>
              <w:rPr>
                <w:rFonts w:ascii="Times New Roman"/>
                <w:kern w:val="2"/>
                <w:sz w:val="24"/>
                <w:szCs w:val="24"/>
              </w:rPr>
            </w:pPr>
          </w:p>
        </w:tc>
      </w:tr>
    </w:tbl>
    <w:p>
      <w:pPr>
        <w:pStyle w:val="10"/>
        <w:rPr>
          <w:sz w:val="24"/>
          <w:szCs w:val="24"/>
        </w:rPr>
      </w:pPr>
    </w:p>
    <w:p>
      <w:pPr>
        <w:pStyle w:val="10"/>
        <w:rPr>
          <w:sz w:val="24"/>
          <w:szCs w:val="24"/>
        </w:rPr>
      </w:pPr>
    </w:p>
    <w:p>
      <w:pPr>
        <w:pStyle w:val="8"/>
        <w:spacing w:before="214" w:line="364" w:lineRule="auto"/>
        <w:ind w:left="675" w:right="2607"/>
      </w:pPr>
      <w:r>
        <w:t>法定代表人或委托代理人签字或盖章：</w:t>
      </w:r>
    </w:p>
    <w:p>
      <w:pPr>
        <w:pStyle w:val="8"/>
        <w:tabs>
          <w:tab w:val="left" w:pos="2539"/>
        </w:tabs>
        <w:spacing w:line="306" w:lineRule="exact"/>
        <w:ind w:left="675"/>
      </w:pPr>
      <w:r>
        <w:t>日期</w:t>
      </w:r>
      <w:r>
        <w:rPr>
          <w:rFonts w:ascii="Times New Roman" w:eastAsia="Times New Roman"/>
        </w:rPr>
        <w:t>:</w:t>
      </w:r>
      <w:r>
        <w:rPr>
          <w:rFonts w:ascii="Times New Roman" w:eastAsia="Times New Roman"/>
        </w:rPr>
        <w:tab/>
      </w:r>
      <w:r>
        <w:t>年</w:t>
      </w:r>
      <w:r>
        <w:rPr>
          <w:rFonts w:hint="eastAsia"/>
          <w:lang w:val="en-US"/>
        </w:rPr>
        <w:t xml:space="preserve">  </w:t>
      </w:r>
      <w:r>
        <w:t>月</w:t>
      </w:r>
      <w:r>
        <w:rPr>
          <w:rFonts w:hint="eastAsia"/>
          <w:lang w:val="en-US"/>
        </w:rPr>
        <w:t xml:space="preserve"> </w:t>
      </w:r>
      <w:r>
        <w:t>日</w:t>
      </w:r>
    </w:p>
    <w:p>
      <w:pPr>
        <w:pStyle w:val="10"/>
        <w:spacing w:before="10"/>
        <w:rPr>
          <w:sz w:val="24"/>
          <w:szCs w:val="24"/>
        </w:rPr>
      </w:pPr>
    </w:p>
    <w:p>
      <w:pPr>
        <w:pStyle w:val="7"/>
        <w:spacing w:before="0" w:line="364" w:lineRule="auto"/>
        <w:ind w:left="240" w:right="301"/>
      </w:pPr>
      <w:bookmarkStart w:id="101" w:name="注意：投标供应商需按招标文件中的技术规格中的对应编号填写此表。对于未在此表中列出"/>
      <w:bookmarkEnd w:id="101"/>
      <w:r>
        <w:t>注意：投标供应商需按招标文件中的</w:t>
      </w:r>
      <w:r>
        <w:rPr>
          <w:rFonts w:hint="eastAsia"/>
          <w:lang w:val="en-US"/>
        </w:rPr>
        <w:t>第七章</w:t>
      </w:r>
      <w:r>
        <w:t>的对应</w:t>
      </w:r>
      <w:r>
        <w:rPr>
          <w:rFonts w:hint="eastAsia"/>
          <w:lang w:val="en-US"/>
        </w:rPr>
        <w:t>内容</w:t>
      </w:r>
      <w:r>
        <w:t>填写此表。投标供应商保证在此表中列出的各项指标均达到招标文件要求</w:t>
      </w:r>
      <w:r>
        <w:rPr>
          <w:rFonts w:hint="eastAsia"/>
        </w:rPr>
        <w:t>；</w:t>
      </w:r>
      <w:r>
        <w:t>对于未在此表中列出的各项指标招标方有理由认为均未达到招标文件要求。</w:t>
      </w:r>
    </w:p>
    <w:p>
      <w:pPr>
        <w:rPr>
          <w:sz w:val="24"/>
          <w:szCs w:val="24"/>
          <w:lang w:val="en-US"/>
        </w:rPr>
      </w:pPr>
      <w:bookmarkStart w:id="102" w:name="技术规格偏差表及技术参数，证明文件等技术资料需制造商盖公章，若虚假应标则将依法追"/>
      <w:bookmarkEnd w:id="102"/>
      <w:bookmarkStart w:id="103" w:name="五、投标供应商基本情况表"/>
      <w:bookmarkEnd w:id="103"/>
      <w:r>
        <w:rPr>
          <w:rFonts w:hint="eastAsia"/>
          <w:sz w:val="24"/>
          <w:szCs w:val="24"/>
          <w:lang w:val="en-US"/>
        </w:rPr>
        <w:br w:type="page"/>
      </w:r>
    </w:p>
    <w:p>
      <w:pPr>
        <w:jc w:val="center"/>
        <w:rPr>
          <w:b/>
          <w:bCs/>
          <w:sz w:val="24"/>
          <w:szCs w:val="24"/>
          <w:lang w:val="en-US"/>
        </w:rPr>
      </w:pPr>
      <w:r>
        <w:rPr>
          <w:rFonts w:hint="eastAsia"/>
          <w:b/>
          <w:bCs/>
          <w:sz w:val="24"/>
          <w:szCs w:val="24"/>
          <w:lang w:val="en-US"/>
        </w:rPr>
        <w:t>五、投标供应商基本情况表</w:t>
      </w:r>
    </w:p>
    <w:p>
      <w:pPr>
        <w:pStyle w:val="10"/>
        <w:rPr>
          <w:b/>
          <w:sz w:val="20"/>
        </w:rPr>
      </w:pPr>
    </w:p>
    <w:p>
      <w:pPr>
        <w:pStyle w:val="10"/>
        <w:spacing w:before="8"/>
        <w:rPr>
          <w:b/>
          <w:sz w:val="12"/>
        </w:rPr>
      </w:pPr>
    </w:p>
    <w:tbl>
      <w:tblPr>
        <w:tblStyle w:val="24"/>
        <w:tblW w:w="0" w:type="auto"/>
        <w:tblInd w:w="155"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796"/>
        <w:gridCol w:w="1035"/>
        <w:gridCol w:w="836"/>
        <w:gridCol w:w="1259"/>
        <w:gridCol w:w="1337"/>
        <w:gridCol w:w="505"/>
        <w:gridCol w:w="678"/>
        <w:gridCol w:w="1482"/>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34" w:hRule="atLeast"/>
        </w:trPr>
        <w:tc>
          <w:tcPr>
            <w:tcW w:w="1796" w:type="dxa"/>
            <w:tcBorders>
              <w:bottom w:val="single" w:color="000000" w:sz="6" w:space="0"/>
              <w:right w:val="single" w:color="000000" w:sz="6" w:space="0"/>
            </w:tcBorders>
          </w:tcPr>
          <w:p>
            <w:pPr>
              <w:pStyle w:val="35"/>
              <w:ind w:left="128" w:right="99"/>
              <w:jc w:val="center"/>
              <w:rPr>
                <w:kern w:val="2"/>
                <w:sz w:val="24"/>
              </w:rPr>
            </w:pPr>
            <w:r>
              <w:rPr>
                <w:kern w:val="2"/>
                <w:sz w:val="24"/>
              </w:rPr>
              <w:t>投标供应商</w:t>
            </w:r>
          </w:p>
          <w:p>
            <w:pPr>
              <w:pStyle w:val="35"/>
              <w:spacing w:before="161"/>
              <w:ind w:left="128" w:right="99"/>
              <w:jc w:val="center"/>
              <w:rPr>
                <w:kern w:val="2"/>
                <w:sz w:val="24"/>
              </w:rPr>
            </w:pPr>
            <w:r>
              <w:rPr>
                <w:kern w:val="2"/>
                <w:sz w:val="24"/>
              </w:rPr>
              <w:t>名称</w:t>
            </w:r>
          </w:p>
        </w:tc>
        <w:tc>
          <w:tcPr>
            <w:tcW w:w="7132" w:type="dxa"/>
            <w:gridSpan w:val="7"/>
            <w:tcBorders>
              <w:left w:val="single" w:color="000000" w:sz="6" w:space="0"/>
              <w:bottom w:val="single" w:color="000000" w:sz="6" w:space="0"/>
            </w:tcBorders>
          </w:tcPr>
          <w:p>
            <w:pPr>
              <w:pStyle w:val="35"/>
              <w:rPr>
                <w:rFonts w:ascii="Times New Roman"/>
                <w:kern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PrEx>
        <w:trPr>
          <w:trHeight w:val="467" w:hRule="atLeast"/>
        </w:trPr>
        <w:tc>
          <w:tcPr>
            <w:tcW w:w="1796" w:type="dxa"/>
            <w:tcBorders>
              <w:top w:val="single" w:color="000000" w:sz="6" w:space="0"/>
              <w:bottom w:val="single" w:color="000000" w:sz="6" w:space="0"/>
              <w:right w:val="single" w:color="000000" w:sz="6" w:space="0"/>
            </w:tcBorders>
          </w:tcPr>
          <w:p>
            <w:pPr>
              <w:pStyle w:val="35"/>
              <w:spacing w:before="1"/>
              <w:ind w:left="128" w:right="99"/>
              <w:jc w:val="center"/>
              <w:rPr>
                <w:kern w:val="2"/>
                <w:sz w:val="24"/>
              </w:rPr>
            </w:pPr>
            <w:r>
              <w:rPr>
                <w:kern w:val="2"/>
                <w:sz w:val="24"/>
              </w:rPr>
              <w:t>注册地址</w:t>
            </w:r>
          </w:p>
        </w:tc>
        <w:tc>
          <w:tcPr>
            <w:tcW w:w="3130" w:type="dxa"/>
            <w:gridSpan w:val="3"/>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1337" w:type="dxa"/>
            <w:tcBorders>
              <w:top w:val="single" w:color="000000" w:sz="6" w:space="0"/>
              <w:left w:val="single" w:color="000000" w:sz="6" w:space="0"/>
              <w:bottom w:val="single" w:color="000000" w:sz="6" w:space="0"/>
              <w:right w:val="single" w:color="000000" w:sz="6" w:space="0"/>
            </w:tcBorders>
          </w:tcPr>
          <w:p>
            <w:pPr>
              <w:pStyle w:val="35"/>
              <w:spacing w:before="1"/>
              <w:ind w:left="185" w:right="136"/>
              <w:jc w:val="center"/>
              <w:rPr>
                <w:kern w:val="2"/>
                <w:sz w:val="24"/>
              </w:rPr>
            </w:pPr>
            <w:r>
              <w:rPr>
                <w:kern w:val="2"/>
                <w:sz w:val="24"/>
              </w:rPr>
              <w:t>邮政编码</w:t>
            </w:r>
          </w:p>
        </w:tc>
        <w:tc>
          <w:tcPr>
            <w:tcW w:w="2665" w:type="dxa"/>
            <w:gridSpan w:val="3"/>
            <w:tcBorders>
              <w:top w:val="single" w:color="000000" w:sz="6" w:space="0"/>
              <w:left w:val="single" w:color="000000" w:sz="6" w:space="0"/>
              <w:bottom w:val="single" w:color="000000" w:sz="6" w:space="0"/>
            </w:tcBorders>
          </w:tcPr>
          <w:p>
            <w:pPr>
              <w:pStyle w:val="35"/>
              <w:rPr>
                <w:rFonts w:ascii="Times New Roman"/>
                <w:kern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PrEx>
        <w:trPr>
          <w:trHeight w:val="466" w:hRule="atLeast"/>
        </w:trPr>
        <w:tc>
          <w:tcPr>
            <w:tcW w:w="1796" w:type="dxa"/>
            <w:vMerge w:val="restart"/>
            <w:tcBorders>
              <w:top w:val="single" w:color="000000" w:sz="6" w:space="0"/>
              <w:bottom w:val="single" w:color="000000" w:sz="6" w:space="0"/>
              <w:right w:val="single" w:color="000000" w:sz="6" w:space="0"/>
            </w:tcBorders>
          </w:tcPr>
          <w:p>
            <w:pPr>
              <w:pStyle w:val="35"/>
              <w:spacing w:before="11"/>
              <w:rPr>
                <w:b/>
                <w:kern w:val="2"/>
                <w:sz w:val="18"/>
              </w:rPr>
            </w:pPr>
          </w:p>
          <w:p>
            <w:pPr>
              <w:pStyle w:val="35"/>
              <w:ind w:left="268"/>
              <w:rPr>
                <w:kern w:val="2"/>
                <w:sz w:val="24"/>
              </w:rPr>
            </w:pPr>
            <w:r>
              <w:rPr>
                <w:kern w:val="2"/>
                <w:sz w:val="24"/>
              </w:rPr>
              <w:t>联系方式</w:t>
            </w:r>
          </w:p>
        </w:tc>
        <w:tc>
          <w:tcPr>
            <w:tcW w:w="1035" w:type="dxa"/>
            <w:tcBorders>
              <w:top w:val="single" w:color="000000" w:sz="6" w:space="0"/>
              <w:left w:val="single" w:color="000000" w:sz="6" w:space="0"/>
              <w:bottom w:val="single" w:color="000000" w:sz="6" w:space="0"/>
              <w:right w:val="single" w:color="000000" w:sz="6" w:space="0"/>
            </w:tcBorders>
          </w:tcPr>
          <w:p>
            <w:pPr>
              <w:pStyle w:val="35"/>
              <w:spacing w:before="2"/>
              <w:ind w:left="119" w:right="78"/>
              <w:jc w:val="center"/>
              <w:rPr>
                <w:kern w:val="2"/>
                <w:sz w:val="24"/>
              </w:rPr>
            </w:pPr>
            <w:r>
              <w:rPr>
                <w:kern w:val="2"/>
                <w:sz w:val="24"/>
              </w:rPr>
              <w:t>联系人</w:t>
            </w:r>
          </w:p>
        </w:tc>
        <w:tc>
          <w:tcPr>
            <w:tcW w:w="2095" w:type="dxa"/>
            <w:gridSpan w:val="2"/>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1337" w:type="dxa"/>
            <w:tcBorders>
              <w:top w:val="single" w:color="000000" w:sz="6" w:space="0"/>
              <w:left w:val="single" w:color="000000" w:sz="6" w:space="0"/>
              <w:bottom w:val="single" w:color="000000" w:sz="6" w:space="0"/>
              <w:right w:val="single" w:color="000000" w:sz="6" w:space="0"/>
            </w:tcBorders>
          </w:tcPr>
          <w:p>
            <w:pPr>
              <w:pStyle w:val="35"/>
              <w:spacing w:before="2"/>
              <w:ind w:left="175" w:right="136"/>
              <w:jc w:val="center"/>
              <w:rPr>
                <w:kern w:val="2"/>
                <w:sz w:val="24"/>
              </w:rPr>
            </w:pPr>
            <w:r>
              <w:rPr>
                <w:kern w:val="2"/>
                <w:sz w:val="24"/>
              </w:rPr>
              <w:t>电话</w:t>
            </w:r>
          </w:p>
        </w:tc>
        <w:tc>
          <w:tcPr>
            <w:tcW w:w="2665" w:type="dxa"/>
            <w:gridSpan w:val="3"/>
            <w:tcBorders>
              <w:top w:val="single" w:color="000000" w:sz="6" w:space="0"/>
              <w:left w:val="single" w:color="000000" w:sz="6" w:space="0"/>
              <w:bottom w:val="single" w:color="000000" w:sz="6" w:space="0"/>
            </w:tcBorders>
          </w:tcPr>
          <w:p>
            <w:pPr>
              <w:pStyle w:val="35"/>
              <w:rPr>
                <w:rFonts w:ascii="Times New Roman"/>
                <w:kern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6" w:hRule="atLeast"/>
        </w:trPr>
        <w:tc>
          <w:tcPr>
            <w:tcW w:w="1796" w:type="dxa"/>
            <w:vMerge w:val="continue"/>
            <w:tcBorders>
              <w:top w:val="nil"/>
              <w:bottom w:val="single" w:color="000000" w:sz="6" w:space="0"/>
              <w:right w:val="single" w:color="000000" w:sz="6" w:space="0"/>
            </w:tcBorders>
          </w:tcPr>
          <w:p>
            <w:pPr>
              <w:rPr>
                <w:kern w:val="2"/>
                <w:sz w:val="2"/>
                <w:szCs w:val="2"/>
              </w:rPr>
            </w:pPr>
          </w:p>
        </w:tc>
        <w:tc>
          <w:tcPr>
            <w:tcW w:w="1035" w:type="dxa"/>
            <w:tcBorders>
              <w:top w:val="single" w:color="000000" w:sz="6" w:space="0"/>
              <w:left w:val="single" w:color="000000" w:sz="6" w:space="0"/>
              <w:bottom w:val="single" w:color="000000" w:sz="6" w:space="0"/>
              <w:right w:val="single" w:color="000000" w:sz="6" w:space="0"/>
            </w:tcBorders>
          </w:tcPr>
          <w:p>
            <w:pPr>
              <w:pStyle w:val="35"/>
              <w:spacing w:before="3"/>
              <w:ind w:left="119" w:right="78"/>
              <w:jc w:val="center"/>
              <w:rPr>
                <w:kern w:val="2"/>
                <w:sz w:val="24"/>
              </w:rPr>
            </w:pPr>
            <w:r>
              <w:rPr>
                <w:kern w:val="2"/>
                <w:sz w:val="24"/>
              </w:rPr>
              <w:t>传真</w:t>
            </w:r>
          </w:p>
        </w:tc>
        <w:tc>
          <w:tcPr>
            <w:tcW w:w="2095" w:type="dxa"/>
            <w:gridSpan w:val="2"/>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1337" w:type="dxa"/>
            <w:tcBorders>
              <w:top w:val="single" w:color="000000" w:sz="6" w:space="0"/>
              <w:left w:val="single" w:color="000000" w:sz="6" w:space="0"/>
              <w:bottom w:val="single" w:color="000000" w:sz="6" w:space="0"/>
              <w:right w:val="single" w:color="000000" w:sz="6" w:space="0"/>
            </w:tcBorders>
          </w:tcPr>
          <w:p>
            <w:pPr>
              <w:pStyle w:val="35"/>
              <w:spacing w:before="3"/>
              <w:ind w:left="175" w:right="136"/>
              <w:jc w:val="center"/>
              <w:rPr>
                <w:kern w:val="2"/>
                <w:sz w:val="24"/>
              </w:rPr>
            </w:pPr>
            <w:r>
              <w:rPr>
                <w:kern w:val="2"/>
                <w:sz w:val="24"/>
              </w:rPr>
              <w:t>网址</w:t>
            </w:r>
          </w:p>
        </w:tc>
        <w:tc>
          <w:tcPr>
            <w:tcW w:w="2665" w:type="dxa"/>
            <w:gridSpan w:val="3"/>
            <w:tcBorders>
              <w:top w:val="single" w:color="000000" w:sz="6" w:space="0"/>
              <w:left w:val="single" w:color="000000" w:sz="6" w:space="0"/>
              <w:bottom w:val="single" w:color="000000" w:sz="6" w:space="0"/>
            </w:tcBorders>
          </w:tcPr>
          <w:p>
            <w:pPr>
              <w:pStyle w:val="35"/>
              <w:rPr>
                <w:rFonts w:ascii="Times New Roman"/>
                <w:kern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7" w:hRule="atLeast"/>
        </w:trPr>
        <w:tc>
          <w:tcPr>
            <w:tcW w:w="1796" w:type="dxa"/>
            <w:tcBorders>
              <w:top w:val="single" w:color="000000" w:sz="6" w:space="0"/>
              <w:bottom w:val="single" w:color="000000" w:sz="6" w:space="0"/>
              <w:right w:val="single" w:color="000000" w:sz="6" w:space="0"/>
            </w:tcBorders>
          </w:tcPr>
          <w:p>
            <w:pPr>
              <w:pStyle w:val="35"/>
              <w:spacing w:before="1"/>
              <w:ind w:left="128" w:right="99"/>
              <w:jc w:val="center"/>
              <w:rPr>
                <w:kern w:val="2"/>
                <w:sz w:val="24"/>
              </w:rPr>
            </w:pPr>
            <w:r>
              <w:rPr>
                <w:kern w:val="2"/>
                <w:sz w:val="24"/>
              </w:rPr>
              <w:t>组织机构</w:t>
            </w:r>
          </w:p>
        </w:tc>
        <w:tc>
          <w:tcPr>
            <w:tcW w:w="7132" w:type="dxa"/>
            <w:gridSpan w:val="7"/>
            <w:tcBorders>
              <w:top w:val="single" w:color="000000" w:sz="6" w:space="0"/>
              <w:left w:val="single" w:color="000000" w:sz="6" w:space="0"/>
              <w:bottom w:val="single" w:color="000000" w:sz="6" w:space="0"/>
            </w:tcBorders>
          </w:tcPr>
          <w:p>
            <w:pPr>
              <w:pStyle w:val="35"/>
              <w:rPr>
                <w:rFonts w:ascii="Times New Roman"/>
                <w:kern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PrEx>
        <w:trPr>
          <w:trHeight w:val="467" w:hRule="atLeast"/>
        </w:trPr>
        <w:tc>
          <w:tcPr>
            <w:tcW w:w="1796" w:type="dxa"/>
            <w:tcBorders>
              <w:top w:val="single" w:color="000000" w:sz="6" w:space="0"/>
              <w:bottom w:val="single" w:color="000000" w:sz="6" w:space="0"/>
              <w:right w:val="single" w:color="000000" w:sz="6" w:space="0"/>
            </w:tcBorders>
          </w:tcPr>
          <w:p>
            <w:pPr>
              <w:pStyle w:val="35"/>
              <w:spacing w:before="1"/>
              <w:ind w:left="128" w:right="99"/>
              <w:jc w:val="center"/>
              <w:rPr>
                <w:kern w:val="2"/>
                <w:sz w:val="24"/>
              </w:rPr>
            </w:pPr>
            <w:r>
              <w:rPr>
                <w:kern w:val="2"/>
                <w:sz w:val="24"/>
              </w:rPr>
              <w:t>法定代表人</w:t>
            </w:r>
          </w:p>
        </w:tc>
        <w:tc>
          <w:tcPr>
            <w:tcW w:w="1035" w:type="dxa"/>
            <w:tcBorders>
              <w:top w:val="single" w:color="000000" w:sz="6" w:space="0"/>
              <w:left w:val="single" w:color="000000" w:sz="6" w:space="0"/>
              <w:bottom w:val="single" w:color="000000" w:sz="6" w:space="0"/>
              <w:right w:val="single" w:color="000000" w:sz="6" w:space="0"/>
            </w:tcBorders>
          </w:tcPr>
          <w:p>
            <w:pPr>
              <w:pStyle w:val="35"/>
              <w:spacing w:before="1"/>
              <w:ind w:left="119" w:right="78"/>
              <w:jc w:val="center"/>
              <w:rPr>
                <w:kern w:val="2"/>
                <w:sz w:val="24"/>
              </w:rPr>
            </w:pPr>
            <w:r>
              <w:rPr>
                <w:kern w:val="2"/>
                <w:sz w:val="24"/>
              </w:rPr>
              <w:t>姓名</w:t>
            </w:r>
          </w:p>
        </w:tc>
        <w:tc>
          <w:tcPr>
            <w:tcW w:w="836"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1259" w:type="dxa"/>
            <w:tcBorders>
              <w:top w:val="single" w:color="000000" w:sz="6" w:space="0"/>
              <w:left w:val="single" w:color="000000" w:sz="6" w:space="0"/>
              <w:bottom w:val="single" w:color="000000" w:sz="6" w:space="0"/>
              <w:right w:val="single" w:color="000000" w:sz="6" w:space="0"/>
            </w:tcBorders>
          </w:tcPr>
          <w:p>
            <w:pPr>
              <w:pStyle w:val="35"/>
              <w:spacing w:before="1"/>
              <w:ind w:left="143" w:right="100"/>
              <w:jc w:val="center"/>
              <w:rPr>
                <w:kern w:val="2"/>
                <w:sz w:val="24"/>
              </w:rPr>
            </w:pPr>
            <w:r>
              <w:rPr>
                <w:kern w:val="2"/>
                <w:sz w:val="24"/>
              </w:rPr>
              <w:t>技术职称</w:t>
            </w:r>
          </w:p>
        </w:tc>
        <w:tc>
          <w:tcPr>
            <w:tcW w:w="1337"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1183" w:type="dxa"/>
            <w:gridSpan w:val="2"/>
            <w:tcBorders>
              <w:top w:val="single" w:color="000000" w:sz="6" w:space="0"/>
              <w:left w:val="single" w:color="000000" w:sz="6" w:space="0"/>
              <w:bottom w:val="single" w:color="000000" w:sz="6" w:space="0"/>
              <w:right w:val="single" w:color="000000" w:sz="6" w:space="0"/>
            </w:tcBorders>
          </w:tcPr>
          <w:p>
            <w:pPr>
              <w:pStyle w:val="35"/>
              <w:spacing w:before="1"/>
              <w:ind w:left="363"/>
              <w:rPr>
                <w:kern w:val="2"/>
                <w:sz w:val="24"/>
              </w:rPr>
            </w:pPr>
            <w:r>
              <w:rPr>
                <w:kern w:val="2"/>
                <w:sz w:val="24"/>
              </w:rPr>
              <w:t>电话</w:t>
            </w:r>
          </w:p>
        </w:tc>
        <w:tc>
          <w:tcPr>
            <w:tcW w:w="1482" w:type="dxa"/>
            <w:tcBorders>
              <w:top w:val="single" w:color="000000" w:sz="6" w:space="0"/>
              <w:left w:val="single" w:color="000000" w:sz="6" w:space="0"/>
              <w:bottom w:val="single" w:color="000000" w:sz="6" w:space="0"/>
            </w:tcBorders>
          </w:tcPr>
          <w:p>
            <w:pPr>
              <w:pStyle w:val="35"/>
              <w:rPr>
                <w:rFonts w:ascii="Times New Roman"/>
                <w:kern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PrEx>
        <w:trPr>
          <w:trHeight w:val="467" w:hRule="atLeast"/>
        </w:trPr>
        <w:tc>
          <w:tcPr>
            <w:tcW w:w="1796" w:type="dxa"/>
            <w:tcBorders>
              <w:top w:val="single" w:color="000000" w:sz="6" w:space="0"/>
              <w:bottom w:val="single" w:color="000000" w:sz="6" w:space="0"/>
              <w:right w:val="single" w:color="000000" w:sz="6" w:space="0"/>
            </w:tcBorders>
          </w:tcPr>
          <w:p>
            <w:pPr>
              <w:pStyle w:val="35"/>
              <w:spacing w:before="2"/>
              <w:ind w:left="128" w:right="99"/>
              <w:jc w:val="center"/>
              <w:rPr>
                <w:kern w:val="2"/>
                <w:sz w:val="24"/>
              </w:rPr>
            </w:pPr>
            <w:r>
              <w:rPr>
                <w:kern w:val="2"/>
                <w:sz w:val="24"/>
              </w:rPr>
              <w:t>技术负责人</w:t>
            </w:r>
          </w:p>
        </w:tc>
        <w:tc>
          <w:tcPr>
            <w:tcW w:w="1035" w:type="dxa"/>
            <w:tcBorders>
              <w:top w:val="single" w:color="000000" w:sz="6" w:space="0"/>
              <w:left w:val="single" w:color="000000" w:sz="6" w:space="0"/>
              <w:bottom w:val="single" w:color="000000" w:sz="6" w:space="0"/>
              <w:right w:val="single" w:color="000000" w:sz="6" w:space="0"/>
            </w:tcBorders>
          </w:tcPr>
          <w:p>
            <w:pPr>
              <w:pStyle w:val="35"/>
              <w:spacing w:before="2"/>
              <w:ind w:left="119" w:right="78"/>
              <w:jc w:val="center"/>
              <w:rPr>
                <w:kern w:val="2"/>
                <w:sz w:val="24"/>
              </w:rPr>
            </w:pPr>
            <w:r>
              <w:rPr>
                <w:kern w:val="2"/>
                <w:sz w:val="24"/>
              </w:rPr>
              <w:t>姓名</w:t>
            </w:r>
          </w:p>
        </w:tc>
        <w:tc>
          <w:tcPr>
            <w:tcW w:w="836"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1259" w:type="dxa"/>
            <w:tcBorders>
              <w:top w:val="single" w:color="000000" w:sz="6" w:space="0"/>
              <w:left w:val="single" w:color="000000" w:sz="6" w:space="0"/>
              <w:bottom w:val="single" w:color="000000" w:sz="6" w:space="0"/>
              <w:right w:val="single" w:color="000000" w:sz="6" w:space="0"/>
            </w:tcBorders>
          </w:tcPr>
          <w:p>
            <w:pPr>
              <w:pStyle w:val="35"/>
              <w:spacing w:before="2"/>
              <w:ind w:left="143" w:right="100"/>
              <w:jc w:val="center"/>
              <w:rPr>
                <w:kern w:val="2"/>
                <w:sz w:val="24"/>
              </w:rPr>
            </w:pPr>
            <w:r>
              <w:rPr>
                <w:kern w:val="2"/>
                <w:sz w:val="24"/>
              </w:rPr>
              <w:t>技术职称</w:t>
            </w:r>
          </w:p>
        </w:tc>
        <w:tc>
          <w:tcPr>
            <w:tcW w:w="1337"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1183" w:type="dxa"/>
            <w:gridSpan w:val="2"/>
            <w:tcBorders>
              <w:top w:val="single" w:color="000000" w:sz="6" w:space="0"/>
              <w:left w:val="single" w:color="000000" w:sz="6" w:space="0"/>
              <w:bottom w:val="single" w:color="000000" w:sz="6" w:space="0"/>
              <w:right w:val="single" w:color="000000" w:sz="6" w:space="0"/>
            </w:tcBorders>
          </w:tcPr>
          <w:p>
            <w:pPr>
              <w:pStyle w:val="35"/>
              <w:spacing w:before="2"/>
              <w:ind w:left="363"/>
              <w:rPr>
                <w:kern w:val="2"/>
                <w:sz w:val="24"/>
              </w:rPr>
            </w:pPr>
            <w:r>
              <w:rPr>
                <w:kern w:val="2"/>
                <w:sz w:val="24"/>
              </w:rPr>
              <w:t>电话</w:t>
            </w:r>
          </w:p>
        </w:tc>
        <w:tc>
          <w:tcPr>
            <w:tcW w:w="1482" w:type="dxa"/>
            <w:tcBorders>
              <w:top w:val="single" w:color="000000" w:sz="6" w:space="0"/>
              <w:left w:val="single" w:color="000000" w:sz="6" w:space="0"/>
              <w:bottom w:val="single" w:color="000000" w:sz="6" w:space="0"/>
            </w:tcBorders>
          </w:tcPr>
          <w:p>
            <w:pPr>
              <w:pStyle w:val="35"/>
              <w:rPr>
                <w:rFonts w:ascii="Times New Roman"/>
                <w:kern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PrEx>
        <w:trPr>
          <w:trHeight w:val="467" w:hRule="atLeast"/>
        </w:trPr>
        <w:tc>
          <w:tcPr>
            <w:tcW w:w="1796" w:type="dxa"/>
            <w:tcBorders>
              <w:top w:val="single" w:color="000000" w:sz="6" w:space="0"/>
              <w:bottom w:val="single" w:color="000000" w:sz="6" w:space="0"/>
              <w:right w:val="single" w:color="000000" w:sz="6" w:space="0"/>
            </w:tcBorders>
          </w:tcPr>
          <w:p>
            <w:pPr>
              <w:pStyle w:val="35"/>
              <w:ind w:left="128" w:right="99"/>
              <w:jc w:val="center"/>
              <w:rPr>
                <w:kern w:val="2"/>
                <w:sz w:val="24"/>
              </w:rPr>
            </w:pPr>
            <w:r>
              <w:rPr>
                <w:kern w:val="2"/>
                <w:sz w:val="24"/>
              </w:rPr>
              <w:t>成立时间</w:t>
            </w:r>
          </w:p>
        </w:tc>
        <w:tc>
          <w:tcPr>
            <w:tcW w:w="1871" w:type="dxa"/>
            <w:gridSpan w:val="2"/>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5261" w:type="dxa"/>
            <w:gridSpan w:val="5"/>
            <w:tcBorders>
              <w:top w:val="single" w:color="000000" w:sz="6" w:space="0"/>
              <w:left w:val="single" w:color="000000" w:sz="6" w:space="0"/>
              <w:bottom w:val="single" w:color="000000" w:sz="6" w:space="0"/>
            </w:tcBorders>
          </w:tcPr>
          <w:p>
            <w:pPr>
              <w:pStyle w:val="35"/>
              <w:ind w:left="1784" w:right="1966"/>
              <w:jc w:val="center"/>
              <w:rPr>
                <w:kern w:val="2"/>
                <w:sz w:val="24"/>
              </w:rPr>
            </w:pPr>
            <w:r>
              <w:rPr>
                <w:kern w:val="2"/>
                <w:sz w:val="24"/>
              </w:rPr>
              <w:t>员工总人数：</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33" w:hRule="atLeast"/>
        </w:trPr>
        <w:tc>
          <w:tcPr>
            <w:tcW w:w="1796" w:type="dxa"/>
            <w:tcBorders>
              <w:top w:val="single" w:color="000000" w:sz="6" w:space="0"/>
              <w:bottom w:val="single" w:color="000000" w:sz="6" w:space="0"/>
              <w:right w:val="single" w:color="000000" w:sz="6" w:space="0"/>
            </w:tcBorders>
          </w:tcPr>
          <w:p>
            <w:pPr>
              <w:pStyle w:val="35"/>
              <w:ind w:left="128" w:right="99"/>
              <w:jc w:val="center"/>
              <w:rPr>
                <w:kern w:val="2"/>
                <w:sz w:val="24"/>
              </w:rPr>
            </w:pPr>
            <w:r>
              <w:rPr>
                <w:kern w:val="2"/>
                <w:sz w:val="24"/>
              </w:rPr>
              <w:t>企业资质等</w:t>
            </w:r>
          </w:p>
          <w:p>
            <w:pPr>
              <w:pStyle w:val="35"/>
              <w:spacing w:before="158"/>
              <w:ind w:left="29"/>
              <w:jc w:val="center"/>
              <w:rPr>
                <w:kern w:val="2"/>
                <w:sz w:val="24"/>
              </w:rPr>
            </w:pPr>
            <w:r>
              <w:rPr>
                <w:kern w:val="2"/>
                <w:sz w:val="24"/>
              </w:rPr>
              <w:t>级</w:t>
            </w:r>
          </w:p>
        </w:tc>
        <w:tc>
          <w:tcPr>
            <w:tcW w:w="1871" w:type="dxa"/>
            <w:gridSpan w:val="2"/>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1259" w:type="dxa"/>
            <w:vMerge w:val="restart"/>
            <w:tcBorders>
              <w:top w:val="single" w:color="000000" w:sz="6" w:space="0"/>
              <w:left w:val="single" w:color="000000" w:sz="6" w:space="0"/>
              <w:bottom w:val="single" w:color="000000" w:sz="6" w:space="0"/>
              <w:right w:val="single" w:color="000000" w:sz="6" w:space="0"/>
            </w:tcBorders>
          </w:tcPr>
          <w:p>
            <w:pPr>
              <w:pStyle w:val="35"/>
              <w:rPr>
                <w:b/>
                <w:kern w:val="2"/>
                <w:sz w:val="24"/>
              </w:rPr>
            </w:pPr>
          </w:p>
          <w:p>
            <w:pPr>
              <w:pStyle w:val="35"/>
              <w:rPr>
                <w:b/>
                <w:kern w:val="2"/>
                <w:sz w:val="24"/>
              </w:rPr>
            </w:pPr>
          </w:p>
          <w:p>
            <w:pPr>
              <w:pStyle w:val="35"/>
              <w:rPr>
                <w:b/>
                <w:kern w:val="2"/>
                <w:sz w:val="24"/>
              </w:rPr>
            </w:pPr>
          </w:p>
          <w:p>
            <w:pPr>
              <w:pStyle w:val="35"/>
              <w:spacing w:before="6"/>
              <w:rPr>
                <w:b/>
                <w:kern w:val="2"/>
                <w:sz w:val="21"/>
              </w:rPr>
            </w:pPr>
          </w:p>
          <w:p>
            <w:pPr>
              <w:pStyle w:val="35"/>
              <w:ind w:left="403"/>
              <w:rPr>
                <w:kern w:val="2"/>
                <w:sz w:val="24"/>
              </w:rPr>
            </w:pPr>
            <w:r>
              <w:rPr>
                <w:kern w:val="2"/>
                <w:sz w:val="24"/>
              </w:rPr>
              <w:t>其中</w:t>
            </w:r>
          </w:p>
        </w:tc>
        <w:tc>
          <w:tcPr>
            <w:tcW w:w="1842" w:type="dxa"/>
            <w:gridSpan w:val="2"/>
            <w:tcBorders>
              <w:top w:val="single" w:color="000000" w:sz="6" w:space="0"/>
              <w:left w:val="single" w:color="000000" w:sz="6" w:space="0"/>
              <w:bottom w:val="single" w:color="000000" w:sz="6" w:space="0"/>
              <w:right w:val="single" w:color="000000" w:sz="6" w:space="0"/>
            </w:tcBorders>
          </w:tcPr>
          <w:p>
            <w:pPr>
              <w:pStyle w:val="35"/>
              <w:spacing w:before="2"/>
              <w:rPr>
                <w:b/>
                <w:kern w:val="2"/>
                <w:sz w:val="18"/>
              </w:rPr>
            </w:pPr>
          </w:p>
          <w:p>
            <w:pPr>
              <w:pStyle w:val="35"/>
              <w:ind w:left="455"/>
              <w:rPr>
                <w:kern w:val="2"/>
                <w:sz w:val="24"/>
              </w:rPr>
            </w:pPr>
            <w:r>
              <w:rPr>
                <w:kern w:val="2"/>
                <w:sz w:val="24"/>
              </w:rPr>
              <w:t>项目经理</w:t>
            </w:r>
          </w:p>
        </w:tc>
        <w:tc>
          <w:tcPr>
            <w:tcW w:w="2160" w:type="dxa"/>
            <w:gridSpan w:val="2"/>
            <w:tcBorders>
              <w:top w:val="single" w:color="000000" w:sz="6" w:space="0"/>
              <w:left w:val="single" w:color="000000" w:sz="6" w:space="0"/>
              <w:bottom w:val="single" w:color="000000" w:sz="6" w:space="0"/>
            </w:tcBorders>
          </w:tcPr>
          <w:p>
            <w:pPr>
              <w:pStyle w:val="35"/>
              <w:rPr>
                <w:rFonts w:ascii="Times New Roman"/>
                <w:kern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PrEx>
        <w:trPr>
          <w:trHeight w:val="465" w:hRule="atLeast"/>
        </w:trPr>
        <w:tc>
          <w:tcPr>
            <w:tcW w:w="1796" w:type="dxa"/>
            <w:tcBorders>
              <w:top w:val="single" w:color="000000" w:sz="6" w:space="0"/>
              <w:bottom w:val="single" w:color="000000" w:sz="6" w:space="0"/>
              <w:right w:val="single" w:color="000000" w:sz="6" w:space="0"/>
            </w:tcBorders>
          </w:tcPr>
          <w:p>
            <w:pPr>
              <w:pStyle w:val="35"/>
              <w:spacing w:before="2"/>
              <w:ind w:left="128" w:right="99"/>
              <w:jc w:val="center"/>
              <w:rPr>
                <w:kern w:val="2"/>
                <w:sz w:val="24"/>
              </w:rPr>
            </w:pPr>
            <w:r>
              <w:rPr>
                <w:kern w:val="2"/>
                <w:sz w:val="24"/>
              </w:rPr>
              <w:t>营业执照号</w:t>
            </w:r>
          </w:p>
        </w:tc>
        <w:tc>
          <w:tcPr>
            <w:tcW w:w="1871" w:type="dxa"/>
            <w:gridSpan w:val="2"/>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1259" w:type="dxa"/>
            <w:vMerge w:val="continue"/>
            <w:tcBorders>
              <w:top w:val="nil"/>
              <w:left w:val="single" w:color="000000" w:sz="6" w:space="0"/>
              <w:bottom w:val="single" w:color="000000" w:sz="6" w:space="0"/>
              <w:right w:val="single" w:color="000000" w:sz="6" w:space="0"/>
            </w:tcBorders>
          </w:tcPr>
          <w:p>
            <w:pPr>
              <w:rPr>
                <w:kern w:val="2"/>
                <w:sz w:val="2"/>
                <w:szCs w:val="2"/>
              </w:rPr>
            </w:pPr>
          </w:p>
        </w:tc>
        <w:tc>
          <w:tcPr>
            <w:tcW w:w="1842" w:type="dxa"/>
            <w:gridSpan w:val="2"/>
            <w:tcBorders>
              <w:top w:val="single" w:color="000000" w:sz="6" w:space="0"/>
              <w:left w:val="single" w:color="000000" w:sz="6" w:space="0"/>
              <w:bottom w:val="single" w:color="000000" w:sz="6" w:space="0"/>
              <w:right w:val="single" w:color="000000" w:sz="6" w:space="0"/>
            </w:tcBorders>
          </w:tcPr>
          <w:p>
            <w:pPr>
              <w:pStyle w:val="35"/>
              <w:spacing w:before="2"/>
              <w:ind w:left="215"/>
              <w:rPr>
                <w:kern w:val="2"/>
                <w:sz w:val="24"/>
              </w:rPr>
            </w:pPr>
            <w:r>
              <w:rPr>
                <w:kern w:val="2"/>
                <w:sz w:val="24"/>
              </w:rPr>
              <w:t>高级职称人员</w:t>
            </w:r>
          </w:p>
        </w:tc>
        <w:tc>
          <w:tcPr>
            <w:tcW w:w="2160" w:type="dxa"/>
            <w:gridSpan w:val="2"/>
            <w:tcBorders>
              <w:top w:val="single" w:color="000000" w:sz="6" w:space="0"/>
              <w:left w:val="single" w:color="000000" w:sz="6" w:space="0"/>
              <w:bottom w:val="single" w:color="000000" w:sz="6" w:space="0"/>
            </w:tcBorders>
          </w:tcPr>
          <w:p>
            <w:pPr>
              <w:pStyle w:val="35"/>
              <w:rPr>
                <w:rFonts w:ascii="Times New Roman"/>
                <w:kern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7" w:hRule="atLeast"/>
        </w:trPr>
        <w:tc>
          <w:tcPr>
            <w:tcW w:w="1796" w:type="dxa"/>
            <w:tcBorders>
              <w:top w:val="single" w:color="000000" w:sz="6" w:space="0"/>
              <w:bottom w:val="single" w:color="000000" w:sz="6" w:space="0"/>
              <w:right w:val="single" w:color="000000" w:sz="6" w:space="0"/>
            </w:tcBorders>
          </w:tcPr>
          <w:p>
            <w:pPr>
              <w:pStyle w:val="35"/>
              <w:spacing w:before="3"/>
              <w:ind w:left="128" w:right="99"/>
              <w:jc w:val="center"/>
              <w:rPr>
                <w:kern w:val="2"/>
                <w:sz w:val="24"/>
              </w:rPr>
            </w:pPr>
            <w:r>
              <w:rPr>
                <w:kern w:val="2"/>
                <w:sz w:val="24"/>
              </w:rPr>
              <w:t>注册资金</w:t>
            </w:r>
          </w:p>
        </w:tc>
        <w:tc>
          <w:tcPr>
            <w:tcW w:w="1871" w:type="dxa"/>
            <w:gridSpan w:val="2"/>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1259" w:type="dxa"/>
            <w:vMerge w:val="continue"/>
            <w:tcBorders>
              <w:top w:val="nil"/>
              <w:left w:val="single" w:color="000000" w:sz="6" w:space="0"/>
              <w:bottom w:val="single" w:color="000000" w:sz="6" w:space="0"/>
              <w:right w:val="single" w:color="000000" w:sz="6" w:space="0"/>
            </w:tcBorders>
          </w:tcPr>
          <w:p>
            <w:pPr>
              <w:rPr>
                <w:kern w:val="2"/>
                <w:sz w:val="2"/>
                <w:szCs w:val="2"/>
              </w:rPr>
            </w:pPr>
          </w:p>
        </w:tc>
        <w:tc>
          <w:tcPr>
            <w:tcW w:w="1842" w:type="dxa"/>
            <w:gridSpan w:val="2"/>
            <w:tcBorders>
              <w:top w:val="single" w:color="000000" w:sz="6" w:space="0"/>
              <w:left w:val="single" w:color="000000" w:sz="6" w:space="0"/>
              <w:bottom w:val="single" w:color="000000" w:sz="6" w:space="0"/>
              <w:right w:val="single" w:color="000000" w:sz="6" w:space="0"/>
            </w:tcBorders>
          </w:tcPr>
          <w:p>
            <w:pPr>
              <w:pStyle w:val="35"/>
              <w:spacing w:before="3"/>
              <w:ind w:left="215"/>
              <w:rPr>
                <w:kern w:val="2"/>
                <w:sz w:val="24"/>
              </w:rPr>
            </w:pPr>
            <w:r>
              <w:rPr>
                <w:kern w:val="2"/>
                <w:sz w:val="24"/>
              </w:rPr>
              <w:t>中级职称人员</w:t>
            </w:r>
          </w:p>
        </w:tc>
        <w:tc>
          <w:tcPr>
            <w:tcW w:w="2160" w:type="dxa"/>
            <w:gridSpan w:val="2"/>
            <w:tcBorders>
              <w:top w:val="single" w:color="000000" w:sz="6" w:space="0"/>
              <w:left w:val="single" w:color="000000" w:sz="6" w:space="0"/>
              <w:bottom w:val="single" w:color="000000" w:sz="6" w:space="0"/>
            </w:tcBorders>
          </w:tcPr>
          <w:p>
            <w:pPr>
              <w:pStyle w:val="35"/>
              <w:rPr>
                <w:rFonts w:ascii="Times New Roman"/>
                <w:kern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7" w:hRule="atLeast"/>
        </w:trPr>
        <w:tc>
          <w:tcPr>
            <w:tcW w:w="1796" w:type="dxa"/>
            <w:tcBorders>
              <w:top w:val="single" w:color="000000" w:sz="6" w:space="0"/>
              <w:bottom w:val="single" w:color="000000" w:sz="6" w:space="0"/>
              <w:right w:val="single" w:color="000000" w:sz="6" w:space="0"/>
            </w:tcBorders>
          </w:tcPr>
          <w:p>
            <w:pPr>
              <w:pStyle w:val="35"/>
              <w:spacing w:before="1"/>
              <w:ind w:left="128" w:right="99"/>
              <w:jc w:val="center"/>
              <w:rPr>
                <w:kern w:val="2"/>
                <w:sz w:val="24"/>
              </w:rPr>
            </w:pPr>
            <w:r>
              <w:rPr>
                <w:kern w:val="2"/>
                <w:sz w:val="24"/>
              </w:rPr>
              <w:t>开户银行</w:t>
            </w:r>
          </w:p>
        </w:tc>
        <w:tc>
          <w:tcPr>
            <w:tcW w:w="1871" w:type="dxa"/>
            <w:gridSpan w:val="2"/>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1259" w:type="dxa"/>
            <w:vMerge w:val="continue"/>
            <w:tcBorders>
              <w:top w:val="nil"/>
              <w:left w:val="single" w:color="000000" w:sz="6" w:space="0"/>
              <w:bottom w:val="single" w:color="000000" w:sz="6" w:space="0"/>
              <w:right w:val="single" w:color="000000" w:sz="6" w:space="0"/>
            </w:tcBorders>
          </w:tcPr>
          <w:p>
            <w:pPr>
              <w:rPr>
                <w:kern w:val="2"/>
                <w:sz w:val="2"/>
                <w:szCs w:val="2"/>
              </w:rPr>
            </w:pPr>
          </w:p>
        </w:tc>
        <w:tc>
          <w:tcPr>
            <w:tcW w:w="1842" w:type="dxa"/>
            <w:gridSpan w:val="2"/>
            <w:tcBorders>
              <w:top w:val="single" w:color="000000" w:sz="6" w:space="0"/>
              <w:left w:val="single" w:color="000000" w:sz="6" w:space="0"/>
              <w:bottom w:val="single" w:color="000000" w:sz="6" w:space="0"/>
              <w:right w:val="single" w:color="000000" w:sz="6" w:space="0"/>
            </w:tcBorders>
          </w:tcPr>
          <w:p>
            <w:pPr>
              <w:pStyle w:val="35"/>
              <w:spacing w:before="1"/>
              <w:ind w:left="215"/>
              <w:rPr>
                <w:kern w:val="2"/>
                <w:sz w:val="24"/>
              </w:rPr>
            </w:pPr>
            <w:r>
              <w:rPr>
                <w:kern w:val="2"/>
                <w:sz w:val="24"/>
              </w:rPr>
              <w:t>初级职称人员</w:t>
            </w:r>
          </w:p>
        </w:tc>
        <w:tc>
          <w:tcPr>
            <w:tcW w:w="2160" w:type="dxa"/>
            <w:gridSpan w:val="2"/>
            <w:tcBorders>
              <w:top w:val="single" w:color="000000" w:sz="6" w:space="0"/>
              <w:left w:val="single" w:color="000000" w:sz="6" w:space="0"/>
              <w:bottom w:val="single" w:color="000000" w:sz="6" w:space="0"/>
            </w:tcBorders>
          </w:tcPr>
          <w:p>
            <w:pPr>
              <w:pStyle w:val="35"/>
              <w:rPr>
                <w:rFonts w:ascii="Times New Roman"/>
                <w:kern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6" w:hRule="atLeast"/>
        </w:trPr>
        <w:tc>
          <w:tcPr>
            <w:tcW w:w="1796" w:type="dxa"/>
            <w:tcBorders>
              <w:top w:val="single" w:color="000000" w:sz="6" w:space="0"/>
              <w:bottom w:val="single" w:color="000000" w:sz="6" w:space="0"/>
              <w:right w:val="single" w:color="000000" w:sz="6" w:space="0"/>
            </w:tcBorders>
          </w:tcPr>
          <w:p>
            <w:pPr>
              <w:pStyle w:val="35"/>
              <w:spacing w:before="1"/>
              <w:ind w:left="128" w:right="99"/>
              <w:jc w:val="center"/>
              <w:rPr>
                <w:kern w:val="2"/>
                <w:sz w:val="24"/>
              </w:rPr>
            </w:pPr>
            <w:r>
              <w:rPr>
                <w:kern w:val="2"/>
                <w:sz w:val="24"/>
              </w:rPr>
              <w:t>账号</w:t>
            </w:r>
          </w:p>
        </w:tc>
        <w:tc>
          <w:tcPr>
            <w:tcW w:w="1871" w:type="dxa"/>
            <w:gridSpan w:val="2"/>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1259" w:type="dxa"/>
            <w:vMerge w:val="continue"/>
            <w:tcBorders>
              <w:top w:val="nil"/>
              <w:left w:val="single" w:color="000000" w:sz="6" w:space="0"/>
              <w:bottom w:val="single" w:color="000000" w:sz="6" w:space="0"/>
              <w:right w:val="single" w:color="000000" w:sz="6" w:space="0"/>
            </w:tcBorders>
          </w:tcPr>
          <w:p>
            <w:pPr>
              <w:rPr>
                <w:kern w:val="2"/>
                <w:sz w:val="2"/>
                <w:szCs w:val="2"/>
              </w:rPr>
            </w:pPr>
          </w:p>
        </w:tc>
        <w:tc>
          <w:tcPr>
            <w:tcW w:w="1842" w:type="dxa"/>
            <w:gridSpan w:val="2"/>
            <w:tcBorders>
              <w:top w:val="single" w:color="000000" w:sz="6" w:space="0"/>
              <w:left w:val="single" w:color="000000" w:sz="6" w:space="0"/>
              <w:bottom w:val="single" w:color="000000" w:sz="6" w:space="0"/>
              <w:right w:val="single" w:color="000000" w:sz="6" w:space="0"/>
            </w:tcBorders>
          </w:tcPr>
          <w:p>
            <w:pPr>
              <w:pStyle w:val="35"/>
              <w:spacing w:before="1"/>
              <w:ind w:left="675" w:right="632"/>
              <w:jc w:val="center"/>
              <w:rPr>
                <w:kern w:val="2"/>
                <w:sz w:val="24"/>
              </w:rPr>
            </w:pPr>
            <w:r>
              <w:rPr>
                <w:kern w:val="2"/>
                <w:sz w:val="24"/>
              </w:rPr>
              <w:t>技工</w:t>
            </w:r>
          </w:p>
        </w:tc>
        <w:tc>
          <w:tcPr>
            <w:tcW w:w="2160" w:type="dxa"/>
            <w:gridSpan w:val="2"/>
            <w:tcBorders>
              <w:top w:val="single" w:color="000000" w:sz="6" w:space="0"/>
              <w:left w:val="single" w:color="000000" w:sz="6" w:space="0"/>
              <w:bottom w:val="single" w:color="000000" w:sz="6" w:space="0"/>
            </w:tcBorders>
          </w:tcPr>
          <w:p>
            <w:pPr>
              <w:pStyle w:val="35"/>
              <w:rPr>
                <w:rFonts w:ascii="Times New Roman"/>
                <w:kern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PrEx>
        <w:trPr>
          <w:trHeight w:val="2047" w:hRule="atLeast"/>
        </w:trPr>
        <w:tc>
          <w:tcPr>
            <w:tcW w:w="1796" w:type="dxa"/>
            <w:tcBorders>
              <w:top w:val="single" w:color="000000" w:sz="6" w:space="0"/>
              <w:bottom w:val="single" w:color="000000" w:sz="6" w:space="0"/>
              <w:right w:val="single" w:color="000000" w:sz="6" w:space="0"/>
            </w:tcBorders>
          </w:tcPr>
          <w:p>
            <w:pPr>
              <w:pStyle w:val="35"/>
              <w:rPr>
                <w:b/>
                <w:kern w:val="2"/>
                <w:sz w:val="24"/>
              </w:rPr>
            </w:pPr>
          </w:p>
          <w:p>
            <w:pPr>
              <w:pStyle w:val="35"/>
              <w:rPr>
                <w:b/>
                <w:kern w:val="2"/>
                <w:sz w:val="24"/>
              </w:rPr>
            </w:pPr>
          </w:p>
          <w:p>
            <w:pPr>
              <w:pStyle w:val="35"/>
              <w:spacing w:before="176"/>
              <w:ind w:left="128" w:right="99"/>
              <w:jc w:val="center"/>
              <w:rPr>
                <w:kern w:val="2"/>
                <w:sz w:val="24"/>
              </w:rPr>
            </w:pPr>
            <w:r>
              <w:rPr>
                <w:kern w:val="2"/>
                <w:sz w:val="24"/>
              </w:rPr>
              <w:t>经营范围</w:t>
            </w:r>
          </w:p>
        </w:tc>
        <w:tc>
          <w:tcPr>
            <w:tcW w:w="7132" w:type="dxa"/>
            <w:gridSpan w:val="7"/>
            <w:tcBorders>
              <w:top w:val="single" w:color="000000" w:sz="6" w:space="0"/>
              <w:left w:val="single" w:color="000000" w:sz="6" w:space="0"/>
              <w:bottom w:val="single" w:color="000000" w:sz="6" w:space="0"/>
            </w:tcBorders>
          </w:tcPr>
          <w:p>
            <w:pPr>
              <w:pStyle w:val="35"/>
              <w:rPr>
                <w:rFonts w:ascii="Times New Roman"/>
                <w:kern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PrEx>
        <w:trPr>
          <w:trHeight w:val="912" w:hRule="atLeast"/>
        </w:trPr>
        <w:tc>
          <w:tcPr>
            <w:tcW w:w="1796" w:type="dxa"/>
            <w:tcBorders>
              <w:top w:val="single" w:color="000000" w:sz="6" w:space="0"/>
              <w:right w:val="single" w:color="000000" w:sz="6" w:space="0"/>
            </w:tcBorders>
          </w:tcPr>
          <w:p>
            <w:pPr>
              <w:pStyle w:val="35"/>
              <w:spacing w:before="1"/>
              <w:ind w:left="128" w:right="99"/>
              <w:jc w:val="center"/>
              <w:rPr>
                <w:kern w:val="2"/>
                <w:sz w:val="24"/>
              </w:rPr>
            </w:pPr>
            <w:r>
              <w:rPr>
                <w:kern w:val="2"/>
                <w:sz w:val="24"/>
              </w:rPr>
              <w:t>备注</w:t>
            </w:r>
          </w:p>
        </w:tc>
        <w:tc>
          <w:tcPr>
            <w:tcW w:w="7132" w:type="dxa"/>
            <w:gridSpan w:val="7"/>
            <w:tcBorders>
              <w:top w:val="single" w:color="000000" w:sz="6" w:space="0"/>
              <w:left w:val="single" w:color="000000" w:sz="6" w:space="0"/>
            </w:tcBorders>
          </w:tcPr>
          <w:p>
            <w:pPr>
              <w:pStyle w:val="35"/>
              <w:rPr>
                <w:rFonts w:ascii="Times New Roman"/>
                <w:kern w:val="2"/>
              </w:rPr>
            </w:pPr>
          </w:p>
        </w:tc>
      </w:tr>
    </w:tbl>
    <w:p>
      <w:pPr>
        <w:pStyle w:val="8"/>
        <w:spacing w:before="2" w:line="364" w:lineRule="auto"/>
        <w:ind w:left="660" w:right="770" w:hanging="420"/>
      </w:pPr>
      <w:bookmarkStart w:id="104" w:name="（本表后附企业法人营业执照副本复印件加盖单位公章）"/>
      <w:bookmarkEnd w:id="104"/>
      <w:r>
        <w:t>（本表后附企业法人营业执照副本</w:t>
      </w:r>
      <w:r>
        <w:rPr>
          <w:rFonts w:hint="eastAsia"/>
        </w:rPr>
        <w:t>、相关资质证书（如有）</w:t>
      </w:r>
      <w:r>
        <w:t>复印件加盖单位公章）</w:t>
      </w:r>
    </w:p>
    <w:p>
      <w:pPr>
        <w:pStyle w:val="8"/>
        <w:spacing w:before="2" w:line="364" w:lineRule="auto"/>
        <w:ind w:left="664" w:leftChars="302" w:right="770" w:firstLine="24" w:firstLineChars="10"/>
      </w:pPr>
      <w:r>
        <w:t>投标供应商：（盖章）</w:t>
      </w:r>
    </w:p>
    <w:p>
      <w:pPr>
        <w:pStyle w:val="8"/>
        <w:spacing w:line="364" w:lineRule="auto"/>
        <w:ind w:left="660" w:right="4782"/>
        <w:rPr>
          <w:rFonts w:ascii="Times New Roman" w:eastAsia="Times New Roman"/>
        </w:rPr>
      </w:pPr>
      <w:r>
        <w:t>法定代表人或委托代理人（签字或盖章）： 日期</w:t>
      </w:r>
      <w:r>
        <w:rPr>
          <w:rFonts w:ascii="Times New Roman" w:eastAsia="Times New Roman"/>
        </w:rPr>
        <w:t>:</w:t>
      </w:r>
    </w:p>
    <w:p>
      <w:pPr>
        <w:spacing w:line="364" w:lineRule="auto"/>
        <w:rPr>
          <w:rFonts w:ascii="Times New Roman" w:eastAsia="Times New Roman"/>
        </w:rPr>
        <w:sectPr>
          <w:footerReference r:id="rId7" w:type="default"/>
          <w:pgSz w:w="11911" w:h="16840"/>
          <w:pgMar w:top="1417" w:right="1020" w:bottom="1417" w:left="1020" w:header="0" w:footer="828" w:gutter="0"/>
          <w:cols w:space="0" w:num="1"/>
        </w:sectPr>
      </w:pPr>
    </w:p>
    <w:p>
      <w:pPr>
        <w:jc w:val="center"/>
        <w:rPr>
          <w:b/>
          <w:bCs/>
          <w:sz w:val="24"/>
          <w:szCs w:val="24"/>
        </w:rPr>
      </w:pPr>
      <w:r>
        <w:rPr>
          <w:rFonts w:hint="eastAsia"/>
          <w:b/>
          <w:bCs/>
          <w:sz w:val="24"/>
          <w:szCs w:val="24"/>
          <w:lang w:val="en-US"/>
        </w:rPr>
        <w:t>六</w:t>
      </w:r>
      <w:r>
        <w:rPr>
          <w:b/>
          <w:bCs/>
          <w:sz w:val="24"/>
          <w:szCs w:val="24"/>
        </w:rPr>
        <w:t>、</w:t>
      </w:r>
      <w:r>
        <w:rPr>
          <w:rFonts w:hint="eastAsia"/>
          <w:b/>
          <w:bCs/>
          <w:sz w:val="24"/>
          <w:szCs w:val="24"/>
        </w:rPr>
        <w:t>法定代表人身份证明书</w:t>
      </w:r>
    </w:p>
    <w:p>
      <w:pPr>
        <w:pStyle w:val="10"/>
        <w:rPr>
          <w:b/>
          <w:sz w:val="20"/>
        </w:rPr>
      </w:pPr>
    </w:p>
    <w:p>
      <w:pPr>
        <w:jc w:val="center"/>
        <w:rPr>
          <w:b/>
          <w:bCs/>
          <w:sz w:val="24"/>
          <w:szCs w:val="24"/>
        </w:rPr>
      </w:pPr>
      <w:r>
        <w:rPr>
          <w:rFonts w:hint="eastAsia"/>
          <w:b/>
          <w:bCs/>
          <w:sz w:val="24"/>
          <w:szCs w:val="24"/>
        </w:rPr>
        <w:t>（</w:t>
      </w:r>
      <w:r>
        <w:rPr>
          <w:rFonts w:hint="eastAsia"/>
          <w:b/>
          <w:bCs/>
          <w:sz w:val="24"/>
          <w:szCs w:val="24"/>
          <w:lang w:val="en-US"/>
        </w:rPr>
        <w:t>法定代表人参会的，提供</w:t>
      </w:r>
      <w:r>
        <w:rPr>
          <w:b/>
          <w:bCs/>
          <w:sz w:val="24"/>
          <w:szCs w:val="24"/>
        </w:rPr>
        <w:t>法定代表人身份证明书</w:t>
      </w:r>
      <w:r>
        <w:rPr>
          <w:rFonts w:hint="eastAsia"/>
          <w:b/>
          <w:bCs/>
          <w:sz w:val="24"/>
          <w:szCs w:val="24"/>
        </w:rPr>
        <w:t>）</w:t>
      </w:r>
    </w:p>
    <w:p>
      <w:pPr>
        <w:pStyle w:val="10"/>
        <w:rPr>
          <w:b/>
          <w:sz w:val="24"/>
          <w:szCs w:val="24"/>
        </w:rPr>
      </w:pPr>
    </w:p>
    <w:p>
      <w:pPr>
        <w:pStyle w:val="10"/>
        <w:spacing w:before="7"/>
        <w:rPr>
          <w:b/>
          <w:sz w:val="24"/>
          <w:szCs w:val="24"/>
        </w:rPr>
      </w:pPr>
    </w:p>
    <w:p>
      <w:pPr>
        <w:pStyle w:val="8"/>
        <w:tabs>
          <w:tab w:val="left" w:pos="2520"/>
        </w:tabs>
        <w:spacing w:before="1"/>
        <w:ind w:left="360"/>
      </w:pPr>
      <w:r>
        <w:rPr>
          <w:rFonts w:ascii="Times New Roman" w:eastAsia="Times New Roman"/>
          <w:u w:val="single"/>
        </w:rPr>
        <w:tab/>
      </w:r>
      <w:r>
        <w:t>（</w:t>
      </w:r>
      <w:r>
        <w:rPr>
          <w:rFonts w:hint="eastAsia"/>
        </w:rPr>
        <w:t>采购人</w:t>
      </w:r>
      <w:r>
        <w:t>名称）：</w:t>
      </w:r>
    </w:p>
    <w:p>
      <w:pPr>
        <w:pStyle w:val="10"/>
        <w:spacing w:before="3"/>
        <w:rPr>
          <w:sz w:val="24"/>
          <w:szCs w:val="24"/>
        </w:rPr>
      </w:pPr>
    </w:p>
    <w:p>
      <w:pPr>
        <w:pStyle w:val="8"/>
        <w:spacing w:line="487" w:lineRule="auto"/>
        <w:ind w:left="670" w:right="445" w:firstLine="480" w:firstLineChars="200"/>
      </w:pPr>
      <w:r>
        <w:t>（</w:t>
      </w:r>
      <w:r>
        <w:rPr>
          <w:u w:val="single"/>
        </w:rPr>
        <w:t>法定代表人姓名</w:t>
      </w:r>
      <w:r>
        <w:rPr>
          <w:spacing w:val="-60"/>
        </w:rPr>
        <w:t>）</w:t>
      </w:r>
      <w:r>
        <w:rPr>
          <w:spacing w:val="-58"/>
        </w:rPr>
        <w:t>在</w:t>
      </w:r>
      <w:r>
        <w:t>（</w:t>
      </w:r>
      <w:r>
        <w:rPr>
          <w:u w:val="single"/>
        </w:rPr>
        <w:t>供应商名称</w:t>
      </w:r>
      <w:r>
        <w:rPr>
          <w:spacing w:val="-58"/>
        </w:rPr>
        <w:t>）任</w:t>
      </w:r>
      <w:r>
        <w:rPr>
          <w:spacing w:val="-5"/>
        </w:rPr>
        <w:t>（</w:t>
      </w:r>
      <w:r>
        <w:rPr>
          <w:u w:val="single"/>
        </w:rPr>
        <w:t>职务名称</w:t>
      </w:r>
      <w:r>
        <w:rPr>
          <w:spacing w:val="-60"/>
        </w:rPr>
        <w:t>）</w:t>
      </w:r>
      <w:r>
        <w:rPr>
          <w:spacing w:val="-30"/>
        </w:rPr>
        <w:t>职务，是</w:t>
      </w:r>
      <w:r>
        <w:rPr>
          <w:spacing w:val="-5"/>
          <w:u w:val="single"/>
        </w:rPr>
        <w:t>（</w:t>
      </w:r>
      <w:r>
        <w:rPr>
          <w:u w:val="single"/>
        </w:rPr>
        <w:t>投标供应商名称</w:t>
      </w:r>
      <w:r>
        <w:rPr>
          <w:spacing w:val="-60"/>
        </w:rPr>
        <w:t>）</w:t>
      </w:r>
      <w:r>
        <w:rPr>
          <w:spacing w:val="-7"/>
        </w:rPr>
        <w:t>的法</w:t>
      </w:r>
      <w:r>
        <w:rPr>
          <w:spacing w:val="-12"/>
        </w:rPr>
        <w:t>定代表人</w:t>
      </w:r>
      <w:r>
        <w:rPr>
          <w:spacing w:val="-5"/>
        </w:rPr>
        <w:t>（</w:t>
      </w:r>
      <w:r>
        <w:rPr>
          <w:u w:val="single"/>
        </w:rPr>
        <w:t>附法定代表人身份证复印件）</w:t>
      </w:r>
      <w:r>
        <w:t>。</w:t>
      </w:r>
    </w:p>
    <w:p>
      <w:pPr>
        <w:pStyle w:val="8"/>
        <w:spacing w:before="95"/>
        <w:ind w:left="670"/>
      </w:pPr>
      <w:r>
        <w:t>特此证明。</w:t>
      </w:r>
    </w:p>
    <w:p>
      <w:pPr>
        <w:pStyle w:val="10"/>
        <w:rPr>
          <w:sz w:val="24"/>
          <w:szCs w:val="24"/>
        </w:rPr>
      </w:pPr>
    </w:p>
    <w:tbl>
      <w:tblPr>
        <w:tblStyle w:val="24"/>
        <w:tblW w:w="0" w:type="auto"/>
        <w:tblInd w:w="5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00"/>
        <w:gridCol w:w="4400"/>
      </w:tblGrid>
      <w:tr>
        <w:tblPrEx>
          <w:tblCellMar>
            <w:top w:w="0" w:type="dxa"/>
            <w:left w:w="0" w:type="dxa"/>
            <w:bottom w:w="0" w:type="dxa"/>
            <w:right w:w="0" w:type="dxa"/>
          </w:tblCellMar>
        </w:tblPrEx>
        <w:trPr>
          <w:trHeight w:val="4154" w:hRule="atLeast"/>
        </w:trPr>
        <w:tc>
          <w:tcPr>
            <w:tcW w:w="4400" w:type="dxa"/>
          </w:tcPr>
          <w:p>
            <w:pPr>
              <w:pStyle w:val="35"/>
              <w:spacing w:before="1"/>
              <w:ind w:left="108"/>
              <w:rPr>
                <w:kern w:val="2"/>
                <w:sz w:val="24"/>
                <w:szCs w:val="24"/>
              </w:rPr>
            </w:pPr>
            <w:r>
              <w:rPr>
                <w:kern w:val="2"/>
                <w:sz w:val="24"/>
                <w:szCs w:val="24"/>
              </w:rPr>
              <w:t>法人身份证复印件：</w:t>
            </w:r>
          </w:p>
        </w:tc>
        <w:tc>
          <w:tcPr>
            <w:tcW w:w="4400" w:type="dxa"/>
          </w:tcPr>
          <w:p>
            <w:pPr>
              <w:pStyle w:val="35"/>
              <w:rPr>
                <w:rFonts w:ascii="Times New Roman"/>
                <w:kern w:val="2"/>
                <w:sz w:val="24"/>
                <w:szCs w:val="24"/>
              </w:rPr>
            </w:pPr>
          </w:p>
        </w:tc>
      </w:tr>
    </w:tbl>
    <w:p>
      <w:pPr>
        <w:pStyle w:val="10"/>
        <w:rPr>
          <w:sz w:val="24"/>
          <w:szCs w:val="24"/>
        </w:rPr>
      </w:pPr>
    </w:p>
    <w:p>
      <w:pPr>
        <w:pStyle w:val="10"/>
        <w:spacing w:before="3"/>
        <w:rPr>
          <w:sz w:val="24"/>
          <w:szCs w:val="24"/>
        </w:rPr>
      </w:pPr>
    </w:p>
    <w:p>
      <w:pPr>
        <w:pStyle w:val="10"/>
        <w:rPr>
          <w:sz w:val="24"/>
          <w:szCs w:val="24"/>
        </w:rPr>
      </w:pPr>
    </w:p>
    <w:p>
      <w:pPr>
        <w:pStyle w:val="10"/>
        <w:rPr>
          <w:sz w:val="24"/>
          <w:szCs w:val="24"/>
        </w:rPr>
      </w:pPr>
    </w:p>
    <w:p>
      <w:pPr>
        <w:pStyle w:val="10"/>
        <w:spacing w:before="3"/>
        <w:rPr>
          <w:sz w:val="24"/>
          <w:szCs w:val="24"/>
        </w:rPr>
      </w:pPr>
    </w:p>
    <w:p>
      <w:pPr>
        <w:pStyle w:val="8"/>
        <w:spacing w:before="67" w:line="364" w:lineRule="auto"/>
        <w:ind w:left="720" w:right="6642"/>
      </w:pPr>
      <w:r>
        <w:rPr>
          <w:spacing w:val="-2"/>
        </w:rPr>
        <w:t xml:space="preserve">法定代表人签字或盖章： </w:t>
      </w:r>
      <w:r>
        <w:t>投标供应商：（盖章） 日期：</w:t>
      </w:r>
    </w:p>
    <w:p>
      <w:pPr>
        <w:spacing w:line="364" w:lineRule="auto"/>
        <w:sectPr>
          <w:pgSz w:w="11911" w:h="16840"/>
          <w:pgMar w:top="1417" w:right="1020" w:bottom="1417" w:left="1020" w:header="0" w:footer="828" w:gutter="0"/>
          <w:cols w:space="0" w:num="1"/>
        </w:sectPr>
      </w:pPr>
    </w:p>
    <w:p>
      <w:pPr>
        <w:jc w:val="center"/>
        <w:rPr>
          <w:b/>
          <w:bCs/>
          <w:sz w:val="24"/>
          <w:szCs w:val="24"/>
        </w:rPr>
      </w:pPr>
      <w:bookmarkStart w:id="105" w:name="七、法定代表人授权书"/>
      <w:bookmarkEnd w:id="105"/>
      <w:r>
        <w:rPr>
          <w:rFonts w:hint="eastAsia"/>
          <w:b/>
          <w:bCs/>
          <w:sz w:val="24"/>
          <w:szCs w:val="24"/>
          <w:lang w:val="en-US"/>
        </w:rPr>
        <w:t>七</w:t>
      </w:r>
      <w:r>
        <w:rPr>
          <w:rFonts w:hint="eastAsia"/>
          <w:b/>
          <w:bCs/>
          <w:sz w:val="24"/>
          <w:szCs w:val="24"/>
        </w:rPr>
        <w:t>、法定代表人授权书</w:t>
      </w:r>
    </w:p>
    <w:p>
      <w:pPr>
        <w:pStyle w:val="10"/>
        <w:rPr>
          <w:b/>
          <w:sz w:val="20"/>
        </w:rPr>
      </w:pPr>
    </w:p>
    <w:p>
      <w:pPr>
        <w:jc w:val="center"/>
        <w:rPr>
          <w:b/>
          <w:bCs/>
          <w:sz w:val="24"/>
          <w:szCs w:val="24"/>
        </w:rPr>
      </w:pPr>
      <w:r>
        <w:rPr>
          <w:rFonts w:hint="eastAsia"/>
          <w:b/>
          <w:bCs/>
          <w:sz w:val="24"/>
          <w:szCs w:val="24"/>
        </w:rPr>
        <w:t>（</w:t>
      </w:r>
      <w:r>
        <w:rPr>
          <w:rFonts w:hint="eastAsia"/>
          <w:b/>
          <w:bCs/>
          <w:sz w:val="24"/>
          <w:szCs w:val="24"/>
          <w:lang w:val="en-US"/>
        </w:rPr>
        <w:t>授权人参会的，提供法定代表人授权书</w:t>
      </w:r>
      <w:r>
        <w:rPr>
          <w:rFonts w:hint="eastAsia"/>
          <w:b/>
          <w:bCs/>
          <w:sz w:val="24"/>
          <w:szCs w:val="24"/>
        </w:rPr>
        <w:t>）</w:t>
      </w:r>
    </w:p>
    <w:p>
      <w:pPr>
        <w:pStyle w:val="10"/>
        <w:rPr>
          <w:b/>
          <w:sz w:val="24"/>
          <w:szCs w:val="24"/>
        </w:rPr>
      </w:pPr>
    </w:p>
    <w:p>
      <w:pPr>
        <w:pStyle w:val="10"/>
        <w:rPr>
          <w:b/>
          <w:sz w:val="24"/>
          <w:szCs w:val="24"/>
        </w:rPr>
      </w:pPr>
    </w:p>
    <w:p>
      <w:pPr>
        <w:pStyle w:val="10"/>
        <w:rPr>
          <w:b/>
          <w:sz w:val="24"/>
          <w:szCs w:val="24"/>
        </w:rPr>
      </w:pPr>
    </w:p>
    <w:p>
      <w:pPr>
        <w:pStyle w:val="8"/>
        <w:tabs>
          <w:tab w:val="left" w:pos="2273"/>
        </w:tabs>
        <w:spacing w:before="221"/>
        <w:ind w:left="113"/>
      </w:pPr>
      <w:r>
        <w:rPr>
          <w:rFonts w:ascii="Times New Roman" w:eastAsia="Times New Roman"/>
          <w:u w:val="single"/>
        </w:rPr>
        <w:tab/>
      </w:r>
      <w:r>
        <w:t>（</w:t>
      </w:r>
      <w:r>
        <w:rPr>
          <w:rFonts w:hint="eastAsia"/>
        </w:rPr>
        <w:t>采购人</w:t>
      </w:r>
      <w:r>
        <w:t>名称）：</w:t>
      </w:r>
    </w:p>
    <w:p>
      <w:pPr>
        <w:pStyle w:val="8"/>
        <w:spacing w:before="5" w:line="364" w:lineRule="auto"/>
        <w:ind w:left="113" w:right="110" w:firstLine="480" w:firstLineChars="200"/>
      </w:pPr>
      <w:r>
        <w:t>本授权声明：</w:t>
      </w:r>
      <w:r>
        <w:rPr>
          <w:u w:val="single"/>
        </w:rPr>
        <w:t>（投标供应商名称）（法定代表人姓名、职务）</w:t>
      </w:r>
      <w:r>
        <w:t>授权</w:t>
      </w:r>
      <w:r>
        <w:rPr>
          <w:u w:val="single"/>
        </w:rPr>
        <w:t>（被授权人姓名、职务）</w:t>
      </w:r>
      <w:r>
        <w:t>为我方 “” 项目（招标编号：）投标活动的合法代表，以我方名义全权处理该项目有关投标、签订合同以及执行合同等一切事宜。</w:t>
      </w:r>
    </w:p>
    <w:p>
      <w:pPr>
        <w:pStyle w:val="8"/>
        <w:spacing w:line="306" w:lineRule="exact"/>
        <w:ind w:left="593"/>
      </w:pPr>
      <w:r>
        <w:t>特此声明。</w:t>
      </w:r>
    </w:p>
    <w:p>
      <w:pPr>
        <w:pStyle w:val="10"/>
        <w:spacing w:before="8" w:after="1"/>
        <w:rPr>
          <w:sz w:val="24"/>
          <w:szCs w:val="24"/>
        </w:rPr>
      </w:pPr>
    </w:p>
    <w:tbl>
      <w:tblPr>
        <w:tblStyle w:val="24"/>
        <w:tblW w:w="0" w:type="auto"/>
        <w:tblInd w:w="5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80"/>
        <w:gridCol w:w="4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3" w:hRule="atLeast"/>
        </w:trPr>
        <w:tc>
          <w:tcPr>
            <w:tcW w:w="4380" w:type="dxa"/>
          </w:tcPr>
          <w:p>
            <w:pPr>
              <w:pStyle w:val="35"/>
              <w:spacing w:before="1"/>
              <w:ind w:left="108"/>
              <w:rPr>
                <w:kern w:val="2"/>
                <w:sz w:val="24"/>
                <w:szCs w:val="24"/>
              </w:rPr>
            </w:pPr>
            <w:r>
              <w:rPr>
                <w:kern w:val="2"/>
                <w:sz w:val="24"/>
                <w:szCs w:val="24"/>
              </w:rPr>
              <w:t>法人身份证复印件：</w:t>
            </w:r>
          </w:p>
        </w:tc>
        <w:tc>
          <w:tcPr>
            <w:tcW w:w="4380" w:type="dxa"/>
          </w:tcPr>
          <w:p>
            <w:pPr>
              <w:pStyle w:val="35"/>
              <w:rPr>
                <w:rFonts w:ascii="Times New Roman"/>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0" w:hRule="atLeast"/>
        </w:trPr>
        <w:tc>
          <w:tcPr>
            <w:tcW w:w="4380" w:type="dxa"/>
          </w:tcPr>
          <w:p>
            <w:pPr>
              <w:pStyle w:val="35"/>
              <w:spacing w:before="3"/>
              <w:ind w:left="108"/>
              <w:rPr>
                <w:kern w:val="2"/>
                <w:sz w:val="24"/>
                <w:szCs w:val="24"/>
              </w:rPr>
            </w:pPr>
            <w:r>
              <w:rPr>
                <w:kern w:val="2"/>
                <w:sz w:val="24"/>
                <w:szCs w:val="24"/>
              </w:rPr>
              <w:t>被授权人身份证复印件：</w:t>
            </w:r>
          </w:p>
        </w:tc>
        <w:tc>
          <w:tcPr>
            <w:tcW w:w="4380" w:type="dxa"/>
          </w:tcPr>
          <w:p>
            <w:pPr>
              <w:pStyle w:val="35"/>
              <w:rPr>
                <w:rFonts w:ascii="Times New Roman"/>
                <w:kern w:val="2"/>
                <w:sz w:val="24"/>
                <w:szCs w:val="24"/>
              </w:rPr>
            </w:pPr>
          </w:p>
        </w:tc>
      </w:tr>
    </w:tbl>
    <w:p>
      <w:pPr>
        <w:pStyle w:val="10"/>
        <w:spacing w:before="5"/>
        <w:rPr>
          <w:sz w:val="24"/>
          <w:szCs w:val="24"/>
        </w:rPr>
      </w:pPr>
    </w:p>
    <w:p>
      <w:pPr>
        <w:pStyle w:val="8"/>
        <w:spacing w:line="364" w:lineRule="auto"/>
        <w:ind w:left="593" w:right="4279"/>
      </w:pPr>
      <w:r>
        <w:t xml:space="preserve">授权代表签字：法定代表人签字或盖章： </w:t>
      </w:r>
    </w:p>
    <w:p>
      <w:pPr>
        <w:pStyle w:val="8"/>
        <w:spacing w:line="364" w:lineRule="auto"/>
        <w:ind w:left="593" w:right="4279"/>
      </w:pPr>
      <w:r>
        <w:t>职务：</w:t>
      </w:r>
    </w:p>
    <w:p>
      <w:pPr>
        <w:pStyle w:val="8"/>
        <w:spacing w:line="364" w:lineRule="auto"/>
        <w:ind w:left="593" w:right="4279"/>
      </w:pPr>
      <w:r>
        <w:t>电话：</w:t>
      </w:r>
    </w:p>
    <w:p>
      <w:pPr>
        <w:pStyle w:val="8"/>
        <w:spacing w:line="364" w:lineRule="auto"/>
        <w:ind w:left="593" w:right="4279"/>
      </w:pPr>
      <w:r>
        <w:t xml:space="preserve">投标单位：（盖章） </w:t>
      </w:r>
    </w:p>
    <w:p>
      <w:pPr>
        <w:pStyle w:val="8"/>
        <w:spacing w:line="364" w:lineRule="auto"/>
        <w:ind w:left="593" w:right="4279"/>
      </w:pPr>
      <w:r>
        <w:t>日期：年月日</w:t>
      </w:r>
    </w:p>
    <w:p>
      <w:pPr>
        <w:pStyle w:val="8"/>
        <w:spacing w:line="364" w:lineRule="auto"/>
        <w:ind w:left="593" w:right="4279"/>
        <w:sectPr>
          <w:pgSz w:w="11911" w:h="16840"/>
          <w:pgMar w:top="1417" w:right="1020" w:bottom="1417" w:left="1020" w:header="0" w:footer="828" w:gutter="0"/>
          <w:cols w:space="0" w:num="1"/>
        </w:sectPr>
      </w:pPr>
    </w:p>
    <w:p>
      <w:pPr>
        <w:pStyle w:val="10"/>
        <w:spacing w:before="2"/>
        <w:rPr>
          <w:sz w:val="9"/>
        </w:rPr>
      </w:pPr>
    </w:p>
    <w:p>
      <w:pPr>
        <w:jc w:val="center"/>
        <w:rPr>
          <w:b/>
          <w:bCs/>
          <w:sz w:val="24"/>
          <w:szCs w:val="24"/>
          <w:lang w:val="en-US"/>
        </w:rPr>
      </w:pPr>
      <w:bookmarkStart w:id="106" w:name="八、投标供应商类似项目业绩一览表"/>
      <w:bookmarkEnd w:id="106"/>
      <w:r>
        <w:rPr>
          <w:rFonts w:hint="eastAsia"/>
          <w:b/>
          <w:bCs/>
          <w:sz w:val="24"/>
          <w:szCs w:val="24"/>
          <w:lang w:val="en-US"/>
        </w:rPr>
        <w:t>八、资格、符合性及响应性评审内容</w:t>
      </w:r>
    </w:p>
    <w:p>
      <w:pPr>
        <w:pStyle w:val="10"/>
        <w:rPr>
          <w:b/>
          <w:sz w:val="20"/>
        </w:rPr>
      </w:pPr>
    </w:p>
    <w:p>
      <w:pPr>
        <w:pStyle w:val="7"/>
        <w:spacing w:before="165" w:line="242" w:lineRule="auto"/>
        <w:ind w:left="512" w:right="480"/>
        <w:jc w:val="center"/>
      </w:pPr>
      <w:r>
        <w:t>（</w:t>
      </w:r>
      <w:r>
        <w:rPr>
          <w:rFonts w:hint="eastAsia"/>
        </w:rPr>
        <w:t>资格、符合性及响应性评审</w:t>
      </w:r>
      <w:r>
        <w:t>内容不提供格式要求，由投标供应商根据招标文件的具体要求，自行拟定）</w:t>
      </w:r>
    </w:p>
    <w:p>
      <w:pPr>
        <w:pStyle w:val="10"/>
        <w:rPr>
          <w:b/>
          <w:sz w:val="20"/>
        </w:rPr>
      </w:pPr>
    </w:p>
    <w:p>
      <w:pPr>
        <w:sectPr>
          <w:pgSz w:w="11911" w:h="16840"/>
          <w:pgMar w:top="1417" w:right="1020" w:bottom="1417" w:left="1020" w:header="0" w:footer="828" w:gutter="0"/>
          <w:cols w:space="0" w:num="1"/>
        </w:sectPr>
      </w:pPr>
      <w:r>
        <w:rPr>
          <w:rFonts w:hint="eastAsia"/>
          <w:lang w:val="en-US"/>
        </w:rPr>
        <w:br w:type="page"/>
      </w:r>
    </w:p>
    <w:p>
      <w:pPr>
        <w:jc w:val="center"/>
        <w:rPr>
          <w:b/>
          <w:bCs/>
          <w:sz w:val="24"/>
          <w:szCs w:val="24"/>
          <w:lang w:val="en-US"/>
        </w:rPr>
      </w:pPr>
      <w:r>
        <w:rPr>
          <w:rFonts w:hint="eastAsia"/>
          <w:b/>
          <w:bCs/>
          <w:sz w:val="24"/>
          <w:szCs w:val="24"/>
          <w:lang w:val="en-US"/>
        </w:rPr>
        <w:t>九、投标供应商信用承诺书</w:t>
      </w:r>
    </w:p>
    <w:p>
      <w:pPr>
        <w:pStyle w:val="10"/>
        <w:rPr>
          <w:b/>
          <w:sz w:val="24"/>
        </w:rPr>
      </w:pPr>
    </w:p>
    <w:p>
      <w:pPr>
        <w:pStyle w:val="10"/>
        <w:tabs>
          <w:tab w:val="left" w:pos="4510"/>
        </w:tabs>
        <w:spacing w:before="168" w:line="278" w:lineRule="auto"/>
        <w:ind w:left="548" w:right="756"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本单位作为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项目的投标供应商，本着诚信原则，对本次投标活动作出如下承诺：</w:t>
      </w:r>
    </w:p>
    <w:p>
      <w:pPr>
        <w:pStyle w:val="10"/>
        <w:spacing w:before="16"/>
        <w:ind w:left="103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1、遵守法律法规规定，公平竞争，不采取任何违法违规行为以谋取中标。</w:t>
      </w:r>
    </w:p>
    <w:p>
      <w:pPr>
        <w:pStyle w:val="10"/>
        <w:spacing w:before="108" w:line="278" w:lineRule="auto"/>
        <w:ind w:left="548" w:right="461"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具备承担本次招标项目的能力，并独立完成该项目。在本次招标投标过程中，不转让、出租、出借投标供应商资格，不挂靠任何单位，不借用别人的资格证书；除非资质降低或不可抗力原因，造成投标供应商不再满足资格预审文件、招标文件规定的资格条件要求外，在投标截止时间后，不放弃本项目投标工作。</w:t>
      </w:r>
    </w:p>
    <w:p>
      <w:pPr>
        <w:pStyle w:val="10"/>
        <w:spacing w:before="14" w:line="278" w:lineRule="auto"/>
        <w:ind w:left="548" w:right="768"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3、若我单位中标，未经采购人员</w:t>
      </w:r>
      <w:r>
        <w:rPr>
          <w:rFonts w:hint="eastAsia" w:asciiTheme="minorEastAsia" w:hAnsiTheme="minorEastAsia" w:eastAsiaTheme="minorEastAsia" w:cstheme="minorEastAsia"/>
          <w:sz w:val="24"/>
          <w:szCs w:val="24"/>
          <w:lang w:val="en-US"/>
        </w:rPr>
        <w:t>同</w:t>
      </w:r>
      <w:r>
        <w:rPr>
          <w:rFonts w:hint="eastAsia" w:asciiTheme="minorEastAsia" w:hAnsiTheme="minorEastAsia" w:eastAsiaTheme="minorEastAsia" w:cstheme="minorEastAsia"/>
          <w:sz w:val="24"/>
          <w:szCs w:val="24"/>
        </w:rPr>
        <w:t>意，不得更换拟派驻的项目经理等主要管理人员。</w:t>
      </w:r>
    </w:p>
    <w:p>
      <w:pPr>
        <w:pStyle w:val="10"/>
        <w:spacing w:before="14"/>
        <w:ind w:left="103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4、本次招投标活动中所有投标材料均真实、准确、完整、合法、有效。</w:t>
      </w:r>
    </w:p>
    <w:p>
      <w:pPr>
        <w:pStyle w:val="10"/>
        <w:spacing w:before="110"/>
        <w:ind w:left="103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5、无涉及招投标活动的违法、违规不良记录，或虽有不良记录，但已超过处理期限。</w:t>
      </w:r>
    </w:p>
    <w:p>
      <w:pPr>
        <w:pStyle w:val="10"/>
        <w:spacing w:before="108" w:line="278" w:lineRule="auto"/>
        <w:ind w:left="548" w:right="562"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6、不与其他投标供应商相互串通投标；不与采购人、采购代理机构相互串通投标；  不向采购人、采购代理机构、评标委员会成员行贿以谋取中标；不以他人名义投标或以其他方式弄虚作假、骗取中标。</w:t>
      </w:r>
    </w:p>
    <w:p>
      <w:pPr>
        <w:pStyle w:val="10"/>
        <w:spacing w:before="14"/>
        <w:ind w:left="107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7、中标后，不将中标项目转包给他人，不将中标项目违法分包。</w:t>
      </w:r>
    </w:p>
    <w:p>
      <w:pPr>
        <w:pStyle w:val="10"/>
        <w:spacing w:before="14"/>
        <w:ind w:left="107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8</w:t>
      </w:r>
      <w:r>
        <w:rPr>
          <w:rFonts w:hint="eastAsia" w:asciiTheme="minorEastAsia" w:hAnsiTheme="minorEastAsia" w:eastAsiaTheme="minorEastAsia" w:cstheme="minorEastAsia"/>
          <w:sz w:val="24"/>
          <w:szCs w:val="24"/>
        </w:rPr>
        <w:t>、中标后及时与采购人订立合同，不签订违背招标文件和中标供应商的投标文件实质性条款的合同或补充协议；严格按照招标文件、投标文件及合同约定全面履行义务，并保证工程质量安全，不留安全隐患。</w:t>
      </w:r>
    </w:p>
    <w:p>
      <w:pPr>
        <w:pStyle w:val="10"/>
        <w:spacing w:before="16" w:line="278" w:lineRule="auto"/>
        <w:ind w:left="548" w:right="850" w:firstLine="48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违背以上信用承诺，自愿接受行业主管部门按照相关规定，对本企业违背承诺的失信行为形成的失信记录，以及失信等级的划分，由行为主管部门记入行业信用信息系统，并传送企业公共信用信息平台，自愿接受贵州省各级国家机关按照相关规定作出的联合惩戒。属于省外企业的，还接受企业注册所在地省（自治区、直辖市） 根据相关规定对本单位作出的失信行为惩戒。</w:t>
      </w:r>
    </w:p>
    <w:p>
      <w:pPr>
        <w:pStyle w:val="10"/>
        <w:rPr>
          <w:rFonts w:asciiTheme="minorEastAsia" w:hAnsiTheme="minorEastAsia" w:eastAsiaTheme="minorEastAsia" w:cstheme="minorEastAsia"/>
          <w:sz w:val="24"/>
          <w:szCs w:val="24"/>
        </w:rPr>
      </w:pPr>
    </w:p>
    <w:p>
      <w:pPr>
        <w:pStyle w:val="10"/>
        <w:rPr>
          <w:rFonts w:asciiTheme="minorEastAsia" w:hAnsiTheme="minorEastAsia" w:eastAsiaTheme="minorEastAsia" w:cstheme="minorEastAsia"/>
          <w:sz w:val="24"/>
          <w:szCs w:val="24"/>
        </w:rPr>
      </w:pPr>
    </w:p>
    <w:p>
      <w:pPr>
        <w:pStyle w:val="10"/>
        <w:spacing w:before="7"/>
        <w:rPr>
          <w:rFonts w:asciiTheme="minorEastAsia" w:hAnsiTheme="minorEastAsia" w:eastAsiaTheme="minorEastAsia" w:cstheme="minorEastAsia"/>
          <w:sz w:val="24"/>
          <w:szCs w:val="24"/>
        </w:rPr>
      </w:pPr>
    </w:p>
    <w:p>
      <w:pPr>
        <w:pStyle w:val="10"/>
        <w:ind w:left="1030" w:firstLine="5280" w:firstLineChars="2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w:t>
      </w:r>
    </w:p>
    <w:p>
      <w:pPr>
        <w:pStyle w:val="10"/>
        <w:rPr>
          <w:rFonts w:asciiTheme="minorEastAsia" w:hAnsiTheme="minorEastAsia" w:eastAsiaTheme="minorEastAsia" w:cstheme="minorEastAsia"/>
          <w:sz w:val="24"/>
          <w:szCs w:val="24"/>
        </w:rPr>
      </w:pPr>
    </w:p>
    <w:p>
      <w:pPr>
        <w:pStyle w:val="10"/>
        <w:rPr>
          <w:rFonts w:asciiTheme="minorEastAsia" w:hAnsiTheme="minorEastAsia" w:eastAsiaTheme="minorEastAsia" w:cstheme="minorEastAsia"/>
          <w:sz w:val="24"/>
          <w:szCs w:val="24"/>
        </w:rPr>
      </w:pPr>
    </w:p>
    <w:p>
      <w:pPr>
        <w:pStyle w:val="10"/>
        <w:spacing w:before="5"/>
        <w:rPr>
          <w:rFonts w:asciiTheme="minorEastAsia" w:hAnsiTheme="minorEastAsia" w:eastAsiaTheme="minorEastAsia" w:cstheme="minorEastAsia"/>
          <w:sz w:val="24"/>
          <w:szCs w:val="24"/>
        </w:rPr>
      </w:pPr>
    </w:p>
    <w:p>
      <w:pPr>
        <w:pStyle w:val="10"/>
        <w:ind w:left="5554" w:firstLine="720" w:firstLine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承诺人（投标供应商盖章）：</w:t>
      </w:r>
    </w:p>
    <w:p>
      <w:pPr>
        <w:pStyle w:val="10"/>
        <w:tabs>
          <w:tab w:val="left" w:pos="839"/>
          <w:tab w:val="left" w:pos="1559"/>
        </w:tabs>
        <w:spacing w:before="142"/>
        <w:ind w:right="744"/>
        <w:jc w:val="right"/>
        <w:rPr>
          <w:rFonts w:asciiTheme="minorEastAsia" w:hAnsiTheme="minorEastAsia" w:eastAsiaTheme="minorEastAsia" w:cstheme="minorEastAsia"/>
          <w:sz w:val="24"/>
          <w:szCs w:val="24"/>
        </w:rPr>
      </w:pPr>
    </w:p>
    <w:p>
      <w:pPr>
        <w:pStyle w:val="10"/>
        <w:tabs>
          <w:tab w:val="left" w:pos="839"/>
          <w:tab w:val="left" w:pos="1559"/>
        </w:tabs>
        <w:spacing w:before="142"/>
        <w:ind w:right="744"/>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rPr>
        <w:t xml:space="preserve">   </w:t>
      </w:r>
      <w:r>
        <w:rPr>
          <w:rFonts w:hint="eastAsia" w:asciiTheme="minorEastAsia" w:hAnsiTheme="minorEastAsia" w:eastAsiaTheme="minorEastAsia" w:cstheme="minorEastAsia"/>
          <w:sz w:val="24"/>
          <w:szCs w:val="24"/>
        </w:rPr>
        <w:t>日</w:t>
      </w:r>
    </w:p>
    <w:p>
      <w:pPr>
        <w:jc w:val="right"/>
        <w:sectPr>
          <w:pgSz w:w="11911" w:h="16840"/>
          <w:pgMar w:top="1417" w:right="1020" w:bottom="1417" w:left="1020" w:header="0" w:footer="828" w:gutter="0"/>
          <w:cols w:space="0" w:num="1"/>
        </w:sectPr>
      </w:pPr>
    </w:p>
    <w:p>
      <w:pPr>
        <w:jc w:val="center"/>
        <w:rPr>
          <w:b/>
          <w:bCs/>
          <w:sz w:val="24"/>
          <w:szCs w:val="24"/>
          <w:lang w:val="en-US"/>
        </w:rPr>
      </w:pPr>
      <w:r>
        <w:rPr>
          <w:rFonts w:hint="eastAsia"/>
          <w:b/>
          <w:bCs/>
          <w:sz w:val="24"/>
          <w:szCs w:val="24"/>
          <w:lang w:val="en-US"/>
        </w:rPr>
        <w:t>十、技术部分</w:t>
      </w:r>
    </w:p>
    <w:p>
      <w:pPr>
        <w:pStyle w:val="10"/>
        <w:rPr>
          <w:b/>
          <w:sz w:val="24"/>
        </w:rPr>
      </w:pPr>
    </w:p>
    <w:p>
      <w:pPr>
        <w:pStyle w:val="7"/>
        <w:spacing w:before="165" w:line="242" w:lineRule="auto"/>
        <w:ind w:left="512" w:right="480"/>
        <w:jc w:val="center"/>
      </w:pPr>
      <w:r>
        <w:t>（技术部分内容不提供格式要求，由投标供应商根据招标文件的具体要求，自行拟定）</w:t>
      </w:r>
    </w:p>
    <w:p>
      <w:pPr>
        <w:spacing w:line="242" w:lineRule="auto"/>
        <w:jc w:val="center"/>
        <w:sectPr>
          <w:pgSz w:w="11911" w:h="16840"/>
          <w:pgMar w:top="1417" w:right="1020" w:bottom="1417" w:left="1020" w:header="0" w:footer="828" w:gutter="0"/>
          <w:cols w:space="0" w:num="1"/>
        </w:sectPr>
      </w:pPr>
    </w:p>
    <w:p>
      <w:pPr>
        <w:jc w:val="center"/>
        <w:rPr>
          <w:b/>
          <w:bCs/>
          <w:sz w:val="24"/>
          <w:szCs w:val="24"/>
          <w:lang w:val="en-US"/>
        </w:rPr>
      </w:pPr>
      <w:r>
        <w:rPr>
          <w:rFonts w:hint="eastAsia"/>
          <w:b/>
          <w:bCs/>
          <w:sz w:val="24"/>
          <w:szCs w:val="24"/>
          <w:lang w:val="en-US"/>
        </w:rPr>
        <w:t>十一、商务部分</w:t>
      </w:r>
    </w:p>
    <w:p>
      <w:pPr>
        <w:pStyle w:val="10"/>
        <w:rPr>
          <w:b/>
          <w:sz w:val="24"/>
        </w:rPr>
      </w:pPr>
    </w:p>
    <w:p>
      <w:pPr>
        <w:pStyle w:val="10"/>
        <w:rPr>
          <w:b/>
          <w:sz w:val="19"/>
        </w:rPr>
      </w:pPr>
    </w:p>
    <w:p>
      <w:pPr>
        <w:pStyle w:val="7"/>
        <w:spacing w:before="1" w:line="242" w:lineRule="auto"/>
        <w:ind w:left="4112" w:right="480" w:hanging="3600"/>
      </w:pPr>
      <w:r>
        <w:t>（商务部分内容不提供格式要求，由投标供应商根据招标文件的具体要求，自行拟定）</w:t>
      </w:r>
    </w:p>
    <w:p>
      <w:r>
        <w:br w:type="page"/>
      </w:r>
    </w:p>
    <w:p>
      <w:pPr>
        <w:pStyle w:val="10"/>
        <w:jc w:val="center"/>
        <w:rPr>
          <w:b/>
          <w:sz w:val="24"/>
        </w:rPr>
      </w:pPr>
      <w:r>
        <w:rPr>
          <w:rFonts w:hint="eastAsia"/>
          <w:b/>
          <w:sz w:val="24"/>
          <w:lang w:val="en-US"/>
        </w:rPr>
        <w:t>十二、</w:t>
      </w:r>
      <w:r>
        <w:rPr>
          <w:rFonts w:hint="eastAsia"/>
          <w:b/>
          <w:sz w:val="24"/>
        </w:rPr>
        <w:t>其他资料</w:t>
      </w:r>
    </w:p>
    <w:p>
      <w:pPr>
        <w:pStyle w:val="7"/>
        <w:spacing w:before="165" w:line="242" w:lineRule="auto"/>
        <w:ind w:left="512" w:right="480"/>
        <w:jc w:val="center"/>
      </w:pPr>
      <w:r>
        <w:rPr>
          <w:rFonts w:hint="eastAsia"/>
        </w:rPr>
        <w:t>（</w:t>
      </w:r>
      <w:r>
        <w:t>由投标供应商根据招标文件的具体要求，自行拟定）</w:t>
      </w:r>
    </w:p>
    <w:p>
      <w:pPr>
        <w:pStyle w:val="4"/>
        <w:ind w:left="0"/>
        <w:jc w:val="both"/>
        <w:rPr>
          <w:b/>
          <w:bCs/>
        </w:rPr>
        <w:sectPr>
          <w:headerReference r:id="rId8" w:type="default"/>
          <w:footerReference r:id="rId9" w:type="default"/>
          <w:pgSz w:w="11911" w:h="16840"/>
          <w:pgMar w:top="1417" w:right="1020" w:bottom="1417" w:left="1020" w:header="0" w:footer="828" w:gutter="0"/>
          <w:cols w:space="0" w:num="1"/>
        </w:sectPr>
      </w:pPr>
      <w:bookmarkStart w:id="107" w:name="第七章招标项目技术、商务及其他要求"/>
      <w:bookmarkEnd w:id="107"/>
    </w:p>
    <w:p>
      <w:pPr>
        <w:pStyle w:val="4"/>
        <w:ind w:left="0"/>
        <w:jc w:val="center"/>
        <w:rPr>
          <w:b/>
          <w:bCs/>
        </w:rPr>
      </w:pPr>
      <w:bookmarkStart w:id="108" w:name="_Toc14147"/>
      <w:r>
        <w:rPr>
          <w:b/>
          <w:bCs/>
        </w:rPr>
        <w:t>第七章</w:t>
      </w:r>
      <w:r>
        <w:rPr>
          <w:rFonts w:hint="eastAsia"/>
          <w:b/>
          <w:bCs/>
          <w:lang w:val="en-US"/>
        </w:rPr>
        <w:t xml:space="preserve">  </w:t>
      </w:r>
      <w:r>
        <w:rPr>
          <w:b/>
          <w:bCs/>
        </w:rPr>
        <w:t>技术、商务及其他要求</w:t>
      </w:r>
      <w:bookmarkEnd w:id="108"/>
    </w:p>
    <w:p>
      <w:pPr>
        <w:pStyle w:val="43"/>
        <w:numPr>
          <w:ilvl w:val="0"/>
          <w:numId w:val="10"/>
        </w:numPr>
        <w:contextualSpacing w:val="0"/>
        <w:outlineLvl w:val="1"/>
        <w:rPr>
          <w:vanish/>
          <w:sz w:val="30"/>
          <w:szCs w:val="30"/>
        </w:rPr>
      </w:pPr>
    </w:p>
    <w:p>
      <w:pPr>
        <w:pStyle w:val="43"/>
        <w:numPr>
          <w:ilvl w:val="0"/>
          <w:numId w:val="10"/>
        </w:numPr>
        <w:contextualSpacing w:val="0"/>
        <w:outlineLvl w:val="1"/>
        <w:rPr>
          <w:vanish/>
          <w:sz w:val="30"/>
          <w:szCs w:val="30"/>
        </w:rPr>
      </w:pPr>
    </w:p>
    <w:p>
      <w:pPr>
        <w:pStyle w:val="43"/>
        <w:numPr>
          <w:ilvl w:val="0"/>
          <w:numId w:val="10"/>
        </w:numPr>
        <w:contextualSpacing w:val="0"/>
        <w:outlineLvl w:val="1"/>
        <w:rPr>
          <w:vanish/>
          <w:sz w:val="30"/>
          <w:szCs w:val="30"/>
        </w:rPr>
      </w:pPr>
    </w:p>
    <w:p>
      <w:pPr>
        <w:pStyle w:val="43"/>
        <w:numPr>
          <w:ilvl w:val="0"/>
          <w:numId w:val="10"/>
        </w:numPr>
        <w:contextualSpacing w:val="0"/>
        <w:outlineLvl w:val="1"/>
        <w:rPr>
          <w:vanish/>
          <w:sz w:val="30"/>
          <w:szCs w:val="30"/>
        </w:rPr>
      </w:pPr>
    </w:p>
    <w:p>
      <w:pPr>
        <w:pStyle w:val="43"/>
        <w:numPr>
          <w:ilvl w:val="0"/>
          <w:numId w:val="10"/>
        </w:numPr>
        <w:contextualSpacing w:val="0"/>
        <w:outlineLvl w:val="1"/>
        <w:rPr>
          <w:vanish/>
          <w:sz w:val="30"/>
          <w:szCs w:val="30"/>
        </w:rPr>
      </w:pPr>
    </w:p>
    <w:p>
      <w:pPr>
        <w:pStyle w:val="43"/>
        <w:numPr>
          <w:ilvl w:val="0"/>
          <w:numId w:val="10"/>
        </w:numPr>
        <w:contextualSpacing w:val="0"/>
        <w:outlineLvl w:val="1"/>
        <w:rPr>
          <w:vanish/>
          <w:sz w:val="30"/>
          <w:szCs w:val="30"/>
        </w:rPr>
      </w:pPr>
    </w:p>
    <w:p>
      <w:pPr>
        <w:pStyle w:val="43"/>
        <w:numPr>
          <w:ilvl w:val="0"/>
          <w:numId w:val="10"/>
        </w:numPr>
        <w:contextualSpacing w:val="0"/>
        <w:outlineLvl w:val="1"/>
        <w:rPr>
          <w:vanish/>
          <w:sz w:val="30"/>
          <w:szCs w:val="30"/>
        </w:rPr>
      </w:pPr>
    </w:p>
    <w:p>
      <w:pPr>
        <w:pStyle w:val="4"/>
        <w:numPr>
          <w:ilvl w:val="1"/>
          <w:numId w:val="10"/>
        </w:numPr>
      </w:pPr>
      <w:r>
        <w:rPr>
          <w:rFonts w:hint="eastAsia"/>
        </w:rPr>
        <w:t>技术要求</w:t>
      </w:r>
    </w:p>
    <w:p>
      <w:pPr>
        <w:pStyle w:val="2"/>
        <w:ind w:firstLine="480"/>
      </w:pPr>
    </w:p>
    <w:tbl>
      <w:tblPr>
        <w:tblStyle w:val="24"/>
        <w:tblW w:w="9873" w:type="dxa"/>
        <w:tblInd w:w="93" w:type="dxa"/>
        <w:tblLayout w:type="fixed"/>
        <w:tblCellMar>
          <w:top w:w="0" w:type="dxa"/>
          <w:left w:w="108" w:type="dxa"/>
          <w:bottom w:w="0" w:type="dxa"/>
          <w:right w:w="108" w:type="dxa"/>
        </w:tblCellMar>
      </w:tblPr>
      <w:tblGrid>
        <w:gridCol w:w="531"/>
        <w:gridCol w:w="629"/>
        <w:gridCol w:w="988"/>
        <w:gridCol w:w="1337"/>
        <w:gridCol w:w="6388"/>
      </w:tblGrid>
      <w:tr>
        <w:tblPrEx>
          <w:tblCellMar>
            <w:top w:w="0" w:type="dxa"/>
            <w:left w:w="108" w:type="dxa"/>
            <w:bottom w:w="0" w:type="dxa"/>
            <w:right w:w="108" w:type="dxa"/>
          </w:tblCellMar>
        </w:tblPrEx>
        <w:trPr>
          <w:trHeight w:val="1482"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b/>
                <w:bCs/>
                <w:color w:val="000000"/>
                <w:sz w:val="20"/>
                <w:szCs w:val="20"/>
                <w:lang w:val="en-US" w:bidi="ar"/>
              </w:rPr>
            </w:pPr>
            <w:r>
              <w:rPr>
                <w:rFonts w:hint="eastAsia" w:ascii="微软雅黑" w:hAnsi="微软雅黑" w:eastAsia="微软雅黑" w:cs="微软雅黑"/>
                <w:b/>
                <w:bCs/>
                <w:color w:val="000000"/>
                <w:sz w:val="20"/>
                <w:szCs w:val="20"/>
                <w:lang w:val="en-US" w:bidi="ar"/>
              </w:rPr>
              <w:t>序号</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000000"/>
                <w:sz w:val="20"/>
                <w:szCs w:val="20"/>
                <w:lang w:val="en-US" w:bidi="ar"/>
              </w:rPr>
            </w:pPr>
            <w:r>
              <w:rPr>
                <w:rFonts w:hint="eastAsia" w:ascii="微软雅黑" w:hAnsi="微软雅黑" w:eastAsia="微软雅黑" w:cs="微软雅黑"/>
                <w:b/>
                <w:bCs/>
                <w:color w:val="000000"/>
                <w:sz w:val="20"/>
                <w:szCs w:val="20"/>
                <w:lang w:val="en-US" w:bidi="ar"/>
              </w:rPr>
              <w:t xml:space="preserve"> 产品名称</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000000"/>
                <w:sz w:val="20"/>
                <w:szCs w:val="20"/>
                <w:lang w:val="en-US" w:bidi="ar"/>
              </w:rPr>
            </w:pPr>
            <w:r>
              <w:rPr>
                <w:rFonts w:hint="eastAsia" w:ascii="微软雅黑" w:hAnsi="微软雅黑" w:eastAsia="微软雅黑" w:cs="微软雅黑"/>
                <w:b/>
                <w:bCs/>
                <w:color w:val="000000"/>
                <w:sz w:val="20"/>
                <w:szCs w:val="20"/>
                <w:lang w:val="en-US" w:bidi="ar"/>
              </w:rPr>
              <w:t>产品模块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000000"/>
                <w:sz w:val="20"/>
                <w:szCs w:val="20"/>
                <w:lang w:val="en-US" w:bidi="ar"/>
              </w:rPr>
            </w:pPr>
            <w:r>
              <w:rPr>
                <w:rFonts w:hint="eastAsia" w:ascii="微软雅黑" w:hAnsi="微软雅黑" w:eastAsia="微软雅黑" w:cs="微软雅黑"/>
                <w:b/>
                <w:bCs/>
                <w:color w:val="000000"/>
                <w:sz w:val="20"/>
                <w:szCs w:val="20"/>
                <w:lang w:val="en-US" w:bidi="ar"/>
              </w:rPr>
              <w:t>产品功能</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000000"/>
                <w:sz w:val="20"/>
                <w:szCs w:val="20"/>
              </w:rPr>
            </w:pPr>
            <w:r>
              <w:rPr>
                <w:rFonts w:hint="eastAsia" w:ascii="微软雅黑" w:hAnsi="微软雅黑" w:eastAsia="微软雅黑" w:cs="微软雅黑"/>
                <w:b/>
                <w:bCs/>
                <w:color w:val="000000"/>
                <w:sz w:val="20"/>
                <w:szCs w:val="20"/>
                <w:lang w:val="en-US" w:bidi="ar"/>
              </w:rPr>
              <w:t>备注</w:t>
            </w:r>
          </w:p>
        </w:tc>
      </w:tr>
      <w:tr>
        <w:tblPrEx>
          <w:tblCellMar>
            <w:top w:w="0" w:type="dxa"/>
            <w:left w:w="108" w:type="dxa"/>
            <w:bottom w:w="0" w:type="dxa"/>
            <w:right w:w="108" w:type="dxa"/>
          </w:tblCellMar>
        </w:tblPrEx>
        <w:trPr>
          <w:trHeight w:val="640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0"/>
                <w:szCs w:val="20"/>
              </w:rPr>
            </w:pPr>
            <w:r>
              <w:rPr>
                <w:rFonts w:hint="eastAsia"/>
                <w:b/>
                <w:bCs/>
                <w:color w:val="000000"/>
                <w:sz w:val="20"/>
                <w:szCs w:val="20"/>
                <w:lang w:val="en-US" w:bidi="ar"/>
              </w:rPr>
              <w:t>1</w:t>
            </w: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bidi="ar"/>
              </w:rPr>
              <w:t>互联网医院</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bidi="ar"/>
              </w:rPr>
              <w:t>互联网医院平台</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bidi="ar"/>
              </w:rPr>
              <w:t>基础服务(含第三方通道对接)</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微软雅黑" w:hAnsi="微软雅黑" w:eastAsia="微软雅黑" w:cs="微软雅黑"/>
                <w:color w:val="000000"/>
                <w:sz w:val="20"/>
                <w:szCs w:val="20"/>
                <w:lang w:val="en-US" w:eastAsia="zh-CN" w:bidi="ar"/>
              </w:rPr>
            </w:pPr>
            <w:r>
              <w:rPr>
                <w:rFonts w:hint="eastAsia" w:ascii="微软雅黑" w:hAnsi="微软雅黑" w:eastAsia="微软雅黑" w:cs="微软雅黑"/>
                <w:color w:val="000000"/>
                <w:sz w:val="20"/>
                <w:szCs w:val="20"/>
                <w:lang w:val="en-US" w:bidi="ar"/>
              </w:rPr>
              <w:t>含基础服务，如注册登录、搜索、消息等；</w:t>
            </w:r>
          </w:p>
          <w:p>
            <w:pPr>
              <w:widowControl/>
              <w:textAlignment w:val="center"/>
              <w:rPr>
                <w:rFonts w:hint="eastAsia" w:ascii="微软雅黑" w:hAnsi="微软雅黑" w:eastAsia="微软雅黑" w:cs="微软雅黑"/>
                <w:color w:val="000000"/>
                <w:sz w:val="20"/>
                <w:szCs w:val="20"/>
                <w:lang w:val="en-US" w:eastAsia="zh-CN" w:bidi="ar"/>
              </w:rPr>
            </w:pPr>
            <w:r>
              <w:rPr>
                <w:rFonts w:hint="eastAsia" w:ascii="微软雅黑" w:hAnsi="微软雅黑" w:eastAsia="微软雅黑" w:cs="微软雅黑"/>
                <w:color w:val="000000"/>
                <w:sz w:val="20"/>
                <w:szCs w:val="20"/>
                <w:lang w:val="en-US" w:bidi="ar"/>
              </w:rPr>
              <w:t>用户通过app输入手机号、获取验证码、设置密码等操作完成账户注册流程。</w:t>
            </w:r>
          </w:p>
          <w:p>
            <w:pPr>
              <w:widowControl/>
              <w:textAlignment w:val="center"/>
              <w:rPr>
                <w:rFonts w:hint="eastAsia" w:ascii="微软雅黑" w:hAnsi="微软雅黑" w:eastAsia="微软雅黑" w:cs="微软雅黑"/>
                <w:color w:val="000000"/>
                <w:sz w:val="20"/>
                <w:szCs w:val="20"/>
                <w:lang w:val="en-US" w:eastAsia="zh-CN" w:bidi="ar"/>
              </w:rPr>
            </w:pPr>
            <w:r>
              <w:rPr>
                <w:rFonts w:hint="eastAsia" w:ascii="微软雅黑" w:hAnsi="微软雅黑" w:eastAsia="微软雅黑" w:cs="微软雅黑"/>
                <w:color w:val="000000"/>
                <w:sz w:val="20"/>
                <w:szCs w:val="20"/>
                <w:lang w:val="en-US" w:bidi="ar"/>
              </w:rPr>
              <w:t>实名认证：可提供对接第三方平台进行实名认证（如支付宝）</w:t>
            </w:r>
          </w:p>
          <w:p>
            <w:pPr>
              <w:widowControl/>
              <w:textAlignment w:val="center"/>
              <w:rPr>
                <w:rFonts w:hint="eastAsia" w:ascii="微软雅黑" w:hAnsi="微软雅黑" w:eastAsia="微软雅黑" w:cs="微软雅黑"/>
                <w:color w:val="000000"/>
                <w:sz w:val="20"/>
                <w:szCs w:val="20"/>
                <w:lang w:val="en-US" w:eastAsia="zh-CN" w:bidi="ar"/>
              </w:rPr>
            </w:pPr>
            <w:r>
              <w:rPr>
                <w:rFonts w:hint="eastAsia" w:ascii="微软雅黑" w:hAnsi="微软雅黑" w:eastAsia="微软雅黑" w:cs="微软雅黑"/>
                <w:color w:val="000000"/>
                <w:sz w:val="20"/>
                <w:szCs w:val="20"/>
                <w:lang w:val="en-US" w:bidi="ar"/>
              </w:rPr>
              <w:t>用户输入用户名（即注册手机号）和密码完成个人账户登录操作，密码错误次数达到一定数值将会锁定登录。</w:t>
            </w:r>
          </w:p>
          <w:p>
            <w:pPr>
              <w:widowControl/>
              <w:textAlignment w:val="center"/>
              <w:rPr>
                <w:rFonts w:hint="eastAsia" w:ascii="微软雅黑" w:hAnsi="微软雅黑" w:eastAsia="微软雅黑" w:cs="微软雅黑"/>
                <w:color w:val="000000"/>
                <w:sz w:val="20"/>
                <w:szCs w:val="20"/>
                <w:lang w:val="en-US" w:eastAsia="zh-CN" w:bidi="ar"/>
              </w:rPr>
            </w:pPr>
            <w:r>
              <w:rPr>
                <w:rFonts w:hint="eastAsia" w:ascii="微软雅黑" w:hAnsi="微软雅黑" w:eastAsia="微软雅黑" w:cs="微软雅黑"/>
                <w:color w:val="000000"/>
                <w:sz w:val="20"/>
                <w:szCs w:val="20"/>
                <w:lang w:val="en-US" w:bidi="ar"/>
              </w:rPr>
              <w:t>用户输入用户名（即注册手机号）和获取短信验证码登录操作。</w:t>
            </w:r>
          </w:p>
          <w:p>
            <w:pPr>
              <w:widowControl/>
              <w:textAlignment w:val="center"/>
              <w:rPr>
                <w:rFonts w:hint="eastAsia" w:ascii="微软雅黑" w:hAnsi="微软雅黑" w:eastAsia="微软雅黑" w:cs="微软雅黑"/>
                <w:color w:val="000000"/>
                <w:sz w:val="20"/>
                <w:szCs w:val="20"/>
                <w:lang w:val="en-US" w:eastAsia="zh-CN" w:bidi="ar"/>
              </w:rPr>
            </w:pPr>
            <w:r>
              <w:rPr>
                <w:rFonts w:hint="eastAsia" w:ascii="微软雅黑" w:hAnsi="微软雅黑" w:eastAsia="微软雅黑" w:cs="微软雅黑"/>
                <w:color w:val="000000"/>
                <w:sz w:val="20"/>
                <w:szCs w:val="20"/>
                <w:lang w:val="en-US" w:bidi="ar"/>
              </w:rPr>
              <w:t>用户如忘记密码，可通过手机号+短信验证码设置新密码。</w:t>
            </w:r>
          </w:p>
          <w:p>
            <w:pPr>
              <w:widowControl/>
              <w:textAlignment w:val="center"/>
              <w:rPr>
                <w:rFonts w:hint="eastAsia" w:ascii="微软雅黑" w:hAnsi="微软雅黑" w:eastAsia="微软雅黑" w:cs="微软雅黑"/>
                <w:color w:val="000000"/>
                <w:sz w:val="20"/>
                <w:szCs w:val="20"/>
                <w:lang w:val="en-US" w:eastAsia="zh-CN" w:bidi="ar"/>
              </w:rPr>
            </w:pPr>
            <w:r>
              <w:rPr>
                <w:rFonts w:hint="eastAsia" w:ascii="微软雅黑" w:hAnsi="微软雅黑" w:eastAsia="微软雅黑" w:cs="微软雅黑"/>
                <w:color w:val="000000"/>
                <w:sz w:val="20"/>
                <w:szCs w:val="20"/>
                <w:lang w:val="en-US" w:bidi="ar"/>
              </w:rPr>
              <w:t>用户可通过此功能搜索医院、科室、医生、疾病等。</w:t>
            </w:r>
          </w:p>
          <w:p>
            <w:pPr>
              <w:widowControl/>
              <w:textAlignment w:val="center"/>
              <w:rPr>
                <w:rFonts w:hint="eastAsia" w:ascii="微软雅黑" w:hAnsi="微软雅黑" w:eastAsia="微软雅黑" w:cs="微软雅黑"/>
                <w:color w:val="000000"/>
                <w:sz w:val="20"/>
                <w:szCs w:val="20"/>
                <w:lang w:val="en-US" w:eastAsia="zh-CN" w:bidi="ar"/>
              </w:rPr>
            </w:pPr>
            <w:r>
              <w:rPr>
                <w:rFonts w:hint="eastAsia" w:ascii="微软雅黑" w:hAnsi="微软雅黑" w:eastAsia="微软雅黑" w:cs="微软雅黑"/>
                <w:color w:val="000000"/>
                <w:sz w:val="20"/>
                <w:szCs w:val="20"/>
                <w:lang w:val="en-US" w:bidi="ar"/>
              </w:rPr>
              <w:t>支持消息类型门诊、住院服务等业务提醒。</w:t>
            </w:r>
          </w:p>
          <w:p>
            <w:pPr>
              <w:widowControl/>
              <w:textAlignment w:val="center"/>
              <w:rPr>
                <w:rFonts w:hint="eastAsia" w:ascii="微软雅黑" w:hAnsi="微软雅黑" w:eastAsia="微软雅黑" w:cs="微软雅黑"/>
                <w:color w:val="000000"/>
                <w:sz w:val="20"/>
                <w:szCs w:val="20"/>
                <w:lang w:val="en-US" w:eastAsia="zh-CN" w:bidi="ar"/>
              </w:rPr>
            </w:pPr>
            <w:r>
              <w:rPr>
                <w:rFonts w:hint="eastAsia" w:ascii="微软雅黑" w:hAnsi="微软雅黑" w:eastAsia="微软雅黑" w:cs="微软雅黑"/>
                <w:color w:val="000000"/>
                <w:sz w:val="20"/>
                <w:szCs w:val="20"/>
                <w:lang w:val="en-US" w:bidi="ar"/>
              </w:rPr>
              <w:t>支持扫描医生二维码查看医生详情或与家庭医生签约。</w:t>
            </w:r>
          </w:p>
          <w:p>
            <w:pPr>
              <w:widowControl/>
              <w:textAlignment w:val="center"/>
              <w:rPr>
                <w:rFonts w:hint="eastAsia" w:ascii="微软雅黑" w:hAnsi="微软雅黑" w:eastAsia="微软雅黑" w:cs="微软雅黑"/>
                <w:color w:val="000000"/>
                <w:sz w:val="20"/>
                <w:szCs w:val="20"/>
                <w:lang w:val="en-US" w:eastAsia="zh-CN" w:bidi="ar"/>
              </w:rPr>
            </w:pPr>
            <w:r>
              <w:rPr>
                <w:rFonts w:hint="eastAsia" w:ascii="微软雅黑" w:hAnsi="微软雅黑" w:eastAsia="微软雅黑" w:cs="微软雅黑"/>
                <w:color w:val="000000"/>
                <w:sz w:val="20"/>
                <w:szCs w:val="20"/>
                <w:lang w:val="en-US" w:bidi="ar"/>
              </w:rPr>
              <w:t>作为APP营销或功能推广的广告位置，点击可查看广告详情。轮播广告内容可通过管理后台进行配置。</w:t>
            </w:r>
          </w:p>
          <w:p>
            <w:pPr>
              <w:widowControl/>
              <w:textAlignment w:val="center"/>
              <w:rPr>
                <w:rFonts w:hint="eastAsia" w:ascii="微软雅黑" w:hAnsi="微软雅黑" w:eastAsia="微软雅黑" w:cs="微软雅黑"/>
                <w:color w:val="000000"/>
                <w:sz w:val="20"/>
                <w:szCs w:val="20"/>
                <w:lang w:val="en-US" w:eastAsia="zh-CN" w:bidi="ar"/>
              </w:rPr>
            </w:pPr>
            <w:r>
              <w:rPr>
                <w:rFonts w:hint="eastAsia" w:ascii="微软雅黑" w:hAnsi="微软雅黑" w:eastAsia="微软雅黑" w:cs="微软雅黑"/>
                <w:color w:val="000000"/>
                <w:sz w:val="20"/>
                <w:szCs w:val="20"/>
                <w:lang w:val="en-US" w:bidi="ar"/>
              </w:rPr>
              <w:t>在移动端操作链很长的业务中，可直接跳转到首页、我的、互联网医院等常用模块</w:t>
            </w:r>
          </w:p>
          <w:p>
            <w:pPr>
              <w:widowControl/>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bidi="ar"/>
              </w:rPr>
              <w:t>包含医院特色介绍、科室介绍、医生介绍、就诊指南、院内平面导航，让用户能便捷查询医院基本信息，及就诊导引。同时提供医院详细地址、地图导航、公交路线信息、医院服务电话和官方网站地址，方便患者就医。</w:t>
            </w:r>
          </w:p>
        </w:tc>
      </w:tr>
      <w:tr>
        <w:tblPrEx>
          <w:tblCellMar>
            <w:top w:w="0" w:type="dxa"/>
            <w:left w:w="108" w:type="dxa"/>
            <w:bottom w:w="0" w:type="dxa"/>
            <w:right w:w="108" w:type="dxa"/>
          </w:tblCellMar>
        </w:tblPrEx>
        <w:trPr>
          <w:trHeight w:val="539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0"/>
                <w:szCs w:val="20"/>
              </w:rPr>
            </w:pPr>
            <w:r>
              <w:rPr>
                <w:rFonts w:hint="eastAsia"/>
                <w:b/>
                <w:bCs/>
                <w:color w:val="000000"/>
                <w:sz w:val="20"/>
                <w:szCs w:val="20"/>
                <w:lang w:val="en-US" w:bidi="ar"/>
              </w:rPr>
              <w:t>2</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bidi="ar"/>
              </w:rPr>
              <w:t>就医服务-居民端</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bidi="ar"/>
              </w:rPr>
              <w:t>挂号缴费（挂号缴费和住院缴费）</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微软雅黑" w:hAnsi="微软雅黑" w:eastAsia="微软雅黑" w:cs="微软雅黑"/>
                <w:color w:val="000000"/>
                <w:sz w:val="20"/>
                <w:szCs w:val="20"/>
                <w:lang w:val="en-US" w:eastAsia="zh-CN" w:bidi="ar"/>
              </w:rPr>
            </w:pPr>
            <w:r>
              <w:rPr>
                <w:rFonts w:hint="eastAsia" w:ascii="微软雅黑" w:hAnsi="微软雅黑" w:eastAsia="微软雅黑" w:cs="微软雅黑"/>
                <w:color w:val="000000"/>
                <w:sz w:val="20"/>
                <w:szCs w:val="20"/>
                <w:lang w:val="en-US" w:bidi="ar"/>
              </w:rPr>
              <w:t>含智能导诊、预约挂号、门诊费用支付、住院费用支付功能</w:t>
            </w:r>
          </w:p>
          <w:p>
            <w:pPr>
              <w:widowControl/>
              <w:textAlignment w:val="center"/>
              <w:rPr>
                <w:rFonts w:hint="eastAsia" w:ascii="微软雅黑" w:hAnsi="微软雅黑" w:eastAsia="微软雅黑" w:cs="微软雅黑"/>
                <w:color w:val="000000"/>
                <w:sz w:val="20"/>
                <w:szCs w:val="20"/>
                <w:lang w:val="en-US" w:eastAsia="zh-CN" w:bidi="ar"/>
              </w:rPr>
            </w:pPr>
            <w:r>
              <w:rPr>
                <w:rFonts w:hint="eastAsia" w:ascii="微软雅黑" w:hAnsi="微软雅黑" w:eastAsia="微软雅黑" w:cs="微软雅黑"/>
                <w:color w:val="000000"/>
                <w:sz w:val="20"/>
                <w:szCs w:val="20"/>
                <w:lang w:val="en-US" w:bidi="ar"/>
              </w:rPr>
              <w:t>智能导诊：实现用户通过APP获取自我健康筛查服务，系统依据用户的当前症状表现，判断用户可能罹患的疾病，推荐相关诊疗科室及医院。支持问答式交互引导至科室或医生</w:t>
            </w:r>
          </w:p>
          <w:p>
            <w:pPr>
              <w:widowControl/>
              <w:textAlignment w:val="center"/>
              <w:rPr>
                <w:rFonts w:hint="eastAsia" w:ascii="微软雅黑" w:hAnsi="微软雅黑" w:eastAsia="微软雅黑" w:cs="微软雅黑"/>
                <w:color w:val="000000"/>
                <w:sz w:val="20"/>
                <w:szCs w:val="20"/>
                <w:lang w:val="en-US" w:eastAsia="zh-CN" w:bidi="ar"/>
              </w:rPr>
            </w:pPr>
            <w:r>
              <w:rPr>
                <w:rFonts w:hint="eastAsia" w:ascii="微软雅黑" w:hAnsi="微软雅黑" w:eastAsia="微软雅黑" w:cs="微软雅黑"/>
                <w:color w:val="000000"/>
                <w:sz w:val="20"/>
                <w:szCs w:val="20"/>
                <w:lang w:val="en-US" w:bidi="ar"/>
              </w:rPr>
              <w:t>基于医院的挂号资源进行开发，实现居民通过APP随时随地进行预约挂号服务：</w:t>
            </w:r>
          </w:p>
          <w:p>
            <w:pPr>
              <w:widowControl/>
              <w:textAlignment w:val="center"/>
              <w:rPr>
                <w:rFonts w:hint="eastAsia" w:ascii="微软雅黑" w:hAnsi="微软雅黑" w:eastAsia="微软雅黑" w:cs="微软雅黑"/>
                <w:color w:val="000000"/>
                <w:sz w:val="20"/>
                <w:szCs w:val="20"/>
                <w:lang w:val="en-US" w:eastAsia="zh-CN" w:bidi="ar"/>
              </w:rPr>
            </w:pPr>
            <w:r>
              <w:rPr>
                <w:rFonts w:hint="eastAsia" w:ascii="微软雅黑" w:hAnsi="微软雅黑" w:eastAsia="微软雅黑" w:cs="微软雅黑"/>
                <w:color w:val="000000"/>
                <w:sz w:val="20"/>
                <w:szCs w:val="20"/>
                <w:lang w:val="en-US" w:bidi="ar"/>
              </w:rPr>
              <w:t>①居民可以搜索查询附近医院科室的详细信息，如当天排班的所有医生信息、专科医生的数量、剩余号源信息、普通号源信息等等，选择号源进行预约挂号。通过平台提供的更集约更高效的寻医就诊方式，进行医院、科室、专家（专病）及号源信息展示并进行预约挂号。</w:t>
            </w:r>
          </w:p>
          <w:p>
            <w:pPr>
              <w:widowControl/>
              <w:textAlignment w:val="center"/>
              <w:rPr>
                <w:rFonts w:hint="eastAsia" w:ascii="微软雅黑" w:hAnsi="微软雅黑" w:eastAsia="微软雅黑" w:cs="微软雅黑"/>
                <w:color w:val="000000"/>
                <w:sz w:val="20"/>
                <w:szCs w:val="20"/>
                <w:lang w:val="en-US" w:eastAsia="zh-CN" w:bidi="ar"/>
              </w:rPr>
            </w:pPr>
            <w:r>
              <w:rPr>
                <w:rFonts w:hint="eastAsia" w:ascii="微软雅黑" w:hAnsi="微软雅黑" w:eastAsia="微软雅黑" w:cs="微软雅黑"/>
                <w:color w:val="000000"/>
                <w:sz w:val="20"/>
                <w:szCs w:val="20"/>
                <w:lang w:val="en-US" w:bidi="ar"/>
              </w:rPr>
              <w:t>②支持诊前病史的录入功能，即在预约挂号成功后，可在医生接诊前提交个人病情描述，对接HIS医生工作站之后，医生可查看患者提交的病情描述作参考。</w:t>
            </w:r>
          </w:p>
          <w:p>
            <w:pPr>
              <w:widowControl/>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bidi="ar"/>
              </w:rPr>
              <w:t>支持居民对门诊待支付项目，包括诊疗预约费用、药费、检查检验费等进行查询、支付，同时支持对已支付项目进行查询，便于居民掌握自己的支付历史情况。</w:t>
            </w:r>
          </w:p>
        </w:tc>
      </w:tr>
      <w:tr>
        <w:tblPrEx>
          <w:tblCellMar>
            <w:top w:w="0" w:type="dxa"/>
            <w:left w:w="108" w:type="dxa"/>
            <w:bottom w:w="0" w:type="dxa"/>
            <w:right w:w="108" w:type="dxa"/>
          </w:tblCellMar>
        </w:tblPrEx>
        <w:trPr>
          <w:trHeight w:val="1019"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0"/>
                <w:szCs w:val="20"/>
              </w:rPr>
            </w:pPr>
            <w:r>
              <w:rPr>
                <w:rFonts w:hint="eastAsia"/>
                <w:b/>
                <w:bCs/>
                <w:color w:val="000000"/>
                <w:sz w:val="20"/>
                <w:szCs w:val="20"/>
                <w:lang w:val="en-US" w:bidi="ar"/>
              </w:rPr>
              <w:t>3</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bidi="ar"/>
              </w:rPr>
              <w:t>住院缴费结算</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bidi="ar"/>
              </w:rPr>
              <w:t>实现患者通过移动端在线充值住院预缴金，预缴金充值方式支持支付宝、微信支付等方式。同时支持查询患者本人或其家庭成员（须在院状态）的消费总金额、已缴押金总额、余额、押金缴费记录。</w:t>
            </w:r>
          </w:p>
        </w:tc>
      </w:tr>
      <w:tr>
        <w:tblPrEx>
          <w:tblCellMar>
            <w:top w:w="0" w:type="dxa"/>
            <w:left w:w="108" w:type="dxa"/>
            <w:bottom w:w="0" w:type="dxa"/>
            <w:right w:w="108" w:type="dxa"/>
          </w:tblCellMar>
        </w:tblPrEx>
        <w:trPr>
          <w:trHeight w:val="202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0"/>
                <w:szCs w:val="20"/>
              </w:rPr>
            </w:pPr>
            <w:r>
              <w:rPr>
                <w:rFonts w:hint="eastAsia"/>
                <w:b/>
                <w:bCs/>
                <w:color w:val="000000"/>
                <w:sz w:val="20"/>
                <w:szCs w:val="20"/>
                <w:lang w:val="en-US" w:bidi="ar"/>
              </w:rPr>
              <w:t>4</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bidi="ar"/>
              </w:rPr>
              <w:t>签到排队</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微软雅黑" w:hAnsi="微软雅黑" w:eastAsia="微软雅黑" w:cs="微软雅黑"/>
                <w:color w:val="000000"/>
                <w:sz w:val="20"/>
                <w:szCs w:val="20"/>
                <w:lang w:val="en-US" w:eastAsia="zh-CN" w:bidi="ar"/>
              </w:rPr>
            </w:pPr>
            <w:r>
              <w:rPr>
                <w:rFonts w:hint="eastAsia" w:ascii="微软雅黑" w:hAnsi="微软雅黑" w:eastAsia="微软雅黑" w:cs="微软雅黑"/>
                <w:color w:val="000000"/>
                <w:sz w:val="20"/>
                <w:szCs w:val="20"/>
                <w:lang w:val="en-US" w:bidi="ar"/>
              </w:rPr>
              <w:t>实现患者预约挂号成功后可通过手机端进行签到并取号，其中在签到取号时间地点范围内（后台可配置可签到取号的时间地点范围）系统支持用户完成在线签到取号。</w:t>
            </w:r>
          </w:p>
          <w:p>
            <w:pPr>
              <w:widowControl/>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bidi="ar"/>
              </w:rPr>
              <w:t>实现查看当前用户及绑定家庭成员的门诊、检验、检查、治疗实时队列信息，帮助用户对候诊地点和时间进行提醒。当临近就诊或执行时间时，系统推送消息提醒居民准备就诊。需对接院内排队叫号系统</w:t>
            </w:r>
          </w:p>
        </w:tc>
      </w:tr>
      <w:tr>
        <w:tblPrEx>
          <w:tblCellMar>
            <w:top w:w="0" w:type="dxa"/>
            <w:left w:w="108" w:type="dxa"/>
            <w:bottom w:w="0" w:type="dxa"/>
            <w:right w:w="108" w:type="dxa"/>
          </w:tblCellMar>
        </w:tblPrEx>
        <w:trPr>
          <w:trHeight w:val="9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0"/>
                <w:szCs w:val="20"/>
              </w:rPr>
            </w:pPr>
            <w:r>
              <w:rPr>
                <w:rFonts w:hint="eastAsia"/>
                <w:b/>
                <w:bCs/>
                <w:color w:val="000000"/>
                <w:sz w:val="20"/>
                <w:szCs w:val="20"/>
                <w:lang w:val="en-US" w:bidi="ar"/>
              </w:rPr>
              <w:t>5</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bidi="ar"/>
              </w:rPr>
              <w:t>费用查询</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微软雅黑" w:hAnsi="微软雅黑" w:eastAsia="微软雅黑" w:cs="微软雅黑"/>
                <w:color w:val="000000"/>
                <w:sz w:val="20"/>
                <w:szCs w:val="20"/>
                <w:lang w:val="en-US" w:eastAsia="zh-CN" w:bidi="ar"/>
              </w:rPr>
            </w:pPr>
            <w:r>
              <w:rPr>
                <w:rFonts w:hint="eastAsia" w:ascii="微软雅黑" w:hAnsi="微软雅黑" w:eastAsia="微软雅黑" w:cs="微软雅黑"/>
                <w:color w:val="000000"/>
                <w:sz w:val="20"/>
                <w:szCs w:val="20"/>
                <w:lang w:val="en-US" w:bidi="ar"/>
              </w:rPr>
              <w:t>实现用户通过移动端对医院门诊和住院过程中产生的相关费用总额、费用明细情况进行查询，了解所花费用的明细情况。</w:t>
            </w:r>
          </w:p>
          <w:p>
            <w:pPr>
              <w:widowControl/>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bidi="ar"/>
              </w:rPr>
              <w:t>实现患者通过移动端对本人或家庭成员（须在院状态）当日住院费用清单进行查询，了解每日住院费用总额和所花费用的明细情况。</w:t>
            </w:r>
          </w:p>
        </w:tc>
      </w:tr>
      <w:tr>
        <w:tblPrEx>
          <w:tblCellMar>
            <w:top w:w="0" w:type="dxa"/>
            <w:left w:w="108" w:type="dxa"/>
            <w:bottom w:w="0" w:type="dxa"/>
            <w:right w:w="108" w:type="dxa"/>
          </w:tblCellMar>
        </w:tblPrEx>
        <w:trPr>
          <w:trHeight w:val="158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0"/>
                <w:szCs w:val="20"/>
              </w:rPr>
            </w:pPr>
            <w:r>
              <w:rPr>
                <w:rFonts w:hint="eastAsia"/>
                <w:b/>
                <w:bCs/>
                <w:color w:val="000000"/>
                <w:sz w:val="20"/>
                <w:szCs w:val="20"/>
                <w:lang w:val="en-US" w:bidi="ar"/>
              </w:rPr>
              <w:t>6</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bidi="ar"/>
              </w:rPr>
              <w:t>报告查询</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bidi="ar"/>
              </w:rPr>
              <w:t>实现查询用户及绑定家庭成员的检验、检查、病理、体检报告。针对检验报告可以展示每个指标的结果，并以不同的颜色区分出异常指标；针对体检报告可以展示体检建议、检验指标的结果、检查的结果信息及诊断信息。</w:t>
            </w:r>
          </w:p>
        </w:tc>
      </w:tr>
      <w:tr>
        <w:tblPrEx>
          <w:tblCellMar>
            <w:top w:w="0" w:type="dxa"/>
            <w:left w:w="108" w:type="dxa"/>
            <w:bottom w:w="0" w:type="dxa"/>
            <w:right w:w="108" w:type="dxa"/>
          </w:tblCellMar>
        </w:tblPrEx>
        <w:trPr>
          <w:trHeight w:val="386"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0"/>
                <w:szCs w:val="20"/>
              </w:rPr>
            </w:pPr>
            <w:r>
              <w:rPr>
                <w:rFonts w:hint="eastAsia"/>
                <w:b/>
                <w:bCs/>
                <w:color w:val="000000"/>
                <w:sz w:val="20"/>
                <w:szCs w:val="20"/>
                <w:lang w:val="en-US" w:bidi="ar"/>
              </w:rPr>
              <w:t>7</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bidi="ar"/>
              </w:rPr>
              <w:t>就诊记录</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bidi="ar"/>
              </w:rPr>
              <w:t>支持查询患者的院内就诊记录</w:t>
            </w:r>
          </w:p>
        </w:tc>
      </w:tr>
      <w:tr>
        <w:tblPrEx>
          <w:tblCellMar>
            <w:top w:w="0" w:type="dxa"/>
            <w:left w:w="108" w:type="dxa"/>
            <w:bottom w:w="0" w:type="dxa"/>
            <w:right w:w="108" w:type="dxa"/>
          </w:tblCellMar>
        </w:tblPrEx>
        <w:trPr>
          <w:trHeight w:val="173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0"/>
                <w:szCs w:val="20"/>
              </w:rPr>
            </w:pPr>
            <w:r>
              <w:rPr>
                <w:rFonts w:hint="eastAsia"/>
                <w:b/>
                <w:bCs/>
                <w:color w:val="000000"/>
                <w:sz w:val="20"/>
                <w:szCs w:val="20"/>
                <w:lang w:val="en-US" w:bidi="ar"/>
              </w:rPr>
              <w:t>8</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bidi="ar"/>
              </w:rPr>
              <w:t>医技预约</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微软雅黑" w:hAnsi="微软雅黑" w:eastAsia="微软雅黑" w:cs="微软雅黑"/>
                <w:color w:val="000000"/>
                <w:sz w:val="20"/>
                <w:szCs w:val="20"/>
                <w:lang w:val="en-US" w:eastAsia="zh-CN" w:bidi="ar"/>
              </w:rPr>
            </w:pPr>
            <w:r>
              <w:rPr>
                <w:rFonts w:hint="eastAsia" w:ascii="微软雅黑" w:hAnsi="微软雅黑" w:eastAsia="微软雅黑" w:cs="微软雅黑"/>
                <w:color w:val="000000"/>
                <w:sz w:val="20"/>
                <w:szCs w:val="20"/>
                <w:lang w:val="en-US" w:bidi="ar"/>
              </w:rPr>
              <w:t>通过对接体检系统，实现体检预约、费用支付、体检报告查看等体检相关服务。</w:t>
            </w:r>
          </w:p>
          <w:p>
            <w:pPr>
              <w:widowControl/>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bidi="ar"/>
              </w:rPr>
              <w:t>实现用户通过移动端在线预约检查、检验，并查看检查相关注意事项，检查地点。到院后可直接到检查科室进行诊疗服务，无需二次排队。</w:t>
            </w:r>
          </w:p>
        </w:tc>
      </w:tr>
      <w:tr>
        <w:tblPrEx>
          <w:tblCellMar>
            <w:top w:w="0" w:type="dxa"/>
            <w:left w:w="108" w:type="dxa"/>
            <w:bottom w:w="0" w:type="dxa"/>
            <w:right w:w="108" w:type="dxa"/>
          </w:tblCellMar>
        </w:tblPrEx>
        <w:trPr>
          <w:trHeight w:val="772"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0"/>
                <w:szCs w:val="20"/>
              </w:rPr>
            </w:pPr>
            <w:r>
              <w:rPr>
                <w:rFonts w:hint="eastAsia"/>
                <w:b/>
                <w:bCs/>
                <w:color w:val="000000"/>
                <w:sz w:val="20"/>
                <w:szCs w:val="20"/>
                <w:lang w:val="en-US" w:bidi="ar"/>
              </w:rPr>
              <w:t>9</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bidi="ar"/>
              </w:rPr>
              <w:t>手术查询</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bidi="ar"/>
              </w:rPr>
              <w:t>实现用户通过移动端实时查询手术进展情况，手术状态变化时，推送消息提醒家庭成员，方便家属了解患者的手术情况。</w:t>
            </w:r>
          </w:p>
        </w:tc>
      </w:tr>
      <w:tr>
        <w:tblPrEx>
          <w:tblCellMar>
            <w:top w:w="0" w:type="dxa"/>
            <w:left w:w="108" w:type="dxa"/>
            <w:bottom w:w="0" w:type="dxa"/>
            <w:right w:w="108" w:type="dxa"/>
          </w:tblCellMar>
        </w:tblPrEx>
        <w:trPr>
          <w:trHeight w:val="969"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0"/>
                <w:szCs w:val="20"/>
              </w:rPr>
            </w:pPr>
            <w:r>
              <w:rPr>
                <w:rFonts w:hint="eastAsia"/>
                <w:b/>
                <w:bCs/>
                <w:color w:val="000000"/>
                <w:sz w:val="20"/>
                <w:szCs w:val="20"/>
                <w:lang w:val="en-US" w:bidi="ar"/>
              </w:rPr>
              <w:t>10</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bidi="ar"/>
              </w:rPr>
              <w:t>病历复印</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bidi="ar"/>
              </w:rPr>
              <w:t>实现患者出院后，在移动端办理出院病案复印申请、预约自提、快递邮寄、状态查询等业务，在家就能获得所需的病历资料，解决了用户来回跑的困扰，进一步改善了就医体验。</w:t>
            </w:r>
          </w:p>
        </w:tc>
      </w:tr>
      <w:tr>
        <w:tblPrEx>
          <w:tblCellMar>
            <w:top w:w="0" w:type="dxa"/>
            <w:left w:w="108" w:type="dxa"/>
            <w:bottom w:w="0" w:type="dxa"/>
            <w:right w:w="108" w:type="dxa"/>
          </w:tblCellMar>
        </w:tblPrEx>
        <w:trPr>
          <w:trHeight w:val="367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0"/>
                <w:szCs w:val="20"/>
              </w:rPr>
            </w:pPr>
            <w:r>
              <w:rPr>
                <w:rFonts w:hint="eastAsia"/>
                <w:b/>
                <w:bCs/>
                <w:color w:val="000000"/>
                <w:sz w:val="20"/>
                <w:szCs w:val="20"/>
                <w:lang w:val="en-US" w:bidi="ar"/>
              </w:rPr>
              <w:t>11</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bidi="ar"/>
              </w:rPr>
              <w:t>自我健康助手</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微软雅黑" w:hAnsi="微软雅黑" w:eastAsia="微软雅黑" w:cs="微软雅黑"/>
                <w:color w:val="000000"/>
                <w:sz w:val="20"/>
                <w:szCs w:val="20"/>
                <w:lang w:val="en-US" w:eastAsia="zh-CN" w:bidi="ar"/>
              </w:rPr>
            </w:pPr>
            <w:r>
              <w:rPr>
                <w:rFonts w:hint="eastAsia" w:ascii="微软雅黑" w:hAnsi="微软雅黑" w:eastAsia="微软雅黑" w:cs="微软雅黑"/>
                <w:color w:val="000000"/>
                <w:sz w:val="20"/>
                <w:szCs w:val="20"/>
                <w:lang w:val="en-US" w:bidi="ar"/>
              </w:rPr>
              <w:t>健康工具包含日常居民常用健康工具，提供居民包含中医体质辨识、接种点查询、产床查询、儿童体格检查、BMI自测、腰臀比自测以及预产期自测健康工具服务，便捷居民通过APP即可享受服务。</w:t>
            </w:r>
          </w:p>
          <w:p>
            <w:pPr>
              <w:widowControl/>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bidi="ar"/>
              </w:rPr>
              <w:t>资讯信息结合用户标签、人群分类通过后台分析定位，为用户精准定位，给用户推荐最贴合用户画像的资讯信息，让用户在第一时间了解所需，同时用户根据需要选择关注的资讯分类，包括养生、慢病、生活、母婴等，支持信息的收藏分享；为居民提供健康教育、相关政策等信息：如根据季节、天气变化等提供疾病预防相关提醒信息；针对孕妇、老人、儿童等特殊人群提供医疗卫生保健知识；针对高血压、糖尿病等慢性病患者提供健康行为、饮食运动等指导信息。</w:t>
            </w:r>
          </w:p>
        </w:tc>
      </w:tr>
      <w:tr>
        <w:tblPrEx>
          <w:tblCellMar>
            <w:top w:w="0" w:type="dxa"/>
            <w:left w:w="108" w:type="dxa"/>
            <w:bottom w:w="0" w:type="dxa"/>
            <w:right w:w="108" w:type="dxa"/>
          </w:tblCellMar>
        </w:tblPrEx>
        <w:trPr>
          <w:trHeight w:val="2029"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0"/>
                <w:szCs w:val="20"/>
              </w:rPr>
            </w:pPr>
            <w:r>
              <w:rPr>
                <w:rFonts w:hint="eastAsia"/>
                <w:b/>
                <w:bCs/>
                <w:color w:val="000000"/>
                <w:sz w:val="20"/>
                <w:szCs w:val="20"/>
                <w:lang w:val="en-US" w:bidi="ar"/>
              </w:rPr>
              <w:t>12</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0"/>
                <w:szCs w:val="20"/>
              </w:rPr>
            </w:pPr>
            <w:r>
              <w:rPr>
                <w:rFonts w:hint="eastAsia"/>
                <w:b/>
                <w:bCs/>
                <w:color w:val="000000"/>
                <w:sz w:val="20"/>
                <w:szCs w:val="20"/>
                <w:lang w:val="en-US" w:bidi="ar"/>
              </w:rPr>
              <w:t>一站式服务中心</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微软雅黑" w:hAnsi="微软雅黑" w:eastAsia="微软雅黑" w:cs="微软雅黑"/>
                <w:color w:val="000000"/>
                <w:sz w:val="20"/>
                <w:szCs w:val="20"/>
                <w:lang w:val="en-US" w:eastAsia="zh-CN" w:bidi="ar"/>
              </w:rPr>
            </w:pPr>
            <w:r>
              <w:rPr>
                <w:rFonts w:hint="eastAsia" w:ascii="微软雅黑" w:hAnsi="微软雅黑" w:eastAsia="微软雅黑" w:cs="微软雅黑"/>
                <w:color w:val="000000"/>
                <w:sz w:val="20"/>
                <w:szCs w:val="20"/>
                <w:lang w:val="en-US" w:bidi="ar"/>
              </w:rPr>
              <w:t>患者端：提供医院、科室两级客服服务，实现人工客服分诊、导诊、咨询。</w:t>
            </w:r>
          </w:p>
          <w:p>
            <w:pPr>
              <w:widowControl/>
              <w:textAlignment w:val="center"/>
              <w:rPr>
                <w:rFonts w:hint="eastAsia" w:ascii="微软雅黑" w:hAnsi="微软雅黑" w:eastAsia="微软雅黑" w:cs="微软雅黑"/>
                <w:color w:val="000000"/>
                <w:sz w:val="20"/>
                <w:szCs w:val="20"/>
                <w:lang w:val="en-US" w:eastAsia="zh-CN" w:bidi="ar"/>
              </w:rPr>
            </w:pPr>
            <w:r>
              <w:rPr>
                <w:rFonts w:hint="eastAsia" w:ascii="微软雅黑" w:hAnsi="微软雅黑" w:eastAsia="微软雅黑" w:cs="微软雅黑"/>
                <w:color w:val="000000"/>
                <w:sz w:val="20"/>
                <w:szCs w:val="20"/>
                <w:lang w:val="en-US" w:bidi="ar"/>
              </w:rPr>
              <w:t>医院端：一站式服务中心管理端，通过图文方式为患者提供导诊、分诊、咨询服务（功能分享，医生挂号资源分享）。</w:t>
            </w:r>
          </w:p>
          <w:p>
            <w:pPr>
              <w:widowControl/>
              <w:textAlignment w:val="center"/>
              <w:rPr>
                <w:rFonts w:hint="eastAsia" w:ascii="微软雅黑" w:hAnsi="微软雅黑" w:eastAsia="微软雅黑" w:cs="微软雅黑"/>
                <w:color w:val="000000"/>
                <w:sz w:val="20"/>
                <w:szCs w:val="20"/>
                <w:lang w:val="en-US" w:eastAsia="zh-CN" w:bidi="ar"/>
              </w:rPr>
            </w:pPr>
            <w:r>
              <w:rPr>
                <w:rFonts w:hint="eastAsia" w:ascii="微软雅黑" w:hAnsi="微软雅黑" w:eastAsia="微软雅黑" w:cs="微软雅黑"/>
                <w:color w:val="000000"/>
                <w:sz w:val="20"/>
                <w:szCs w:val="20"/>
                <w:lang w:val="en-US" w:bidi="ar"/>
              </w:rPr>
              <w:t>实现院科两级客服服务转接；</w:t>
            </w:r>
          </w:p>
          <w:p>
            <w:pPr>
              <w:widowControl/>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bidi="ar"/>
              </w:rPr>
              <w:t>通过HIS系统实现快速加号功能；</w:t>
            </w:r>
          </w:p>
        </w:tc>
      </w:tr>
      <w:tr>
        <w:tblPrEx>
          <w:tblCellMar>
            <w:top w:w="0" w:type="dxa"/>
            <w:left w:w="108" w:type="dxa"/>
            <w:bottom w:w="0" w:type="dxa"/>
            <w:right w:w="108" w:type="dxa"/>
          </w:tblCellMar>
        </w:tblPrEx>
        <w:trPr>
          <w:trHeight w:val="1605"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0"/>
                <w:szCs w:val="20"/>
              </w:rPr>
            </w:pPr>
            <w:r>
              <w:rPr>
                <w:rFonts w:hint="eastAsia"/>
                <w:b/>
                <w:bCs/>
                <w:color w:val="000000"/>
                <w:sz w:val="20"/>
                <w:szCs w:val="20"/>
                <w:lang w:val="en-US" w:bidi="ar"/>
              </w:rPr>
              <w:t>13</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0"/>
                <w:szCs w:val="20"/>
              </w:rPr>
            </w:pPr>
            <w:r>
              <w:rPr>
                <w:rFonts w:hint="eastAsia"/>
                <w:b/>
                <w:bCs/>
                <w:color w:val="000000"/>
                <w:sz w:val="20"/>
                <w:szCs w:val="20"/>
                <w:lang w:val="en-US" w:bidi="ar"/>
              </w:rPr>
              <w:t>健康宣教会</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微软雅黑" w:hAnsi="微软雅黑" w:eastAsia="微软雅黑" w:cs="微软雅黑"/>
                <w:color w:val="000000"/>
                <w:sz w:val="20"/>
                <w:szCs w:val="20"/>
                <w:lang w:val="en-US" w:eastAsia="zh-CN" w:bidi="ar"/>
              </w:rPr>
            </w:pPr>
            <w:r>
              <w:rPr>
                <w:rFonts w:hint="eastAsia" w:ascii="微软雅黑" w:hAnsi="微软雅黑" w:eastAsia="微软雅黑" w:cs="微软雅黑"/>
                <w:color w:val="000000"/>
                <w:sz w:val="20"/>
                <w:szCs w:val="20"/>
                <w:lang w:val="en-US" w:bidi="ar"/>
              </w:rPr>
              <w:t>此功能为患者端提供入口，实际宣教会进行方式为跳转第三方直播平台。</w:t>
            </w:r>
          </w:p>
          <w:p>
            <w:pPr>
              <w:widowControl/>
              <w:textAlignment w:val="center"/>
              <w:rPr>
                <w:rFonts w:hint="eastAsia" w:ascii="微软雅黑" w:hAnsi="微软雅黑" w:eastAsia="微软雅黑" w:cs="微软雅黑"/>
                <w:color w:val="000000"/>
                <w:sz w:val="20"/>
                <w:szCs w:val="20"/>
                <w:lang w:val="en-US" w:eastAsia="zh-CN" w:bidi="ar"/>
              </w:rPr>
            </w:pPr>
            <w:r>
              <w:rPr>
                <w:rFonts w:hint="eastAsia" w:ascii="微软雅黑" w:hAnsi="微软雅黑" w:eastAsia="微软雅黑" w:cs="微软雅黑"/>
                <w:color w:val="000000"/>
                <w:sz w:val="20"/>
                <w:szCs w:val="20"/>
                <w:lang w:val="en-US" w:bidi="ar"/>
              </w:rPr>
              <w:t>患者可通过健康宣教会功能，选择医生发布的健康宣教直播会议进行学习。</w:t>
            </w:r>
          </w:p>
          <w:p>
            <w:pPr>
              <w:widowControl/>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bidi="ar"/>
              </w:rPr>
              <w:t>也可通过该功能查看既往宣教视频会录像（按病种分类查看）。</w:t>
            </w:r>
          </w:p>
        </w:tc>
      </w:tr>
      <w:tr>
        <w:tblPrEx>
          <w:tblCellMar>
            <w:top w:w="0" w:type="dxa"/>
            <w:left w:w="108" w:type="dxa"/>
            <w:bottom w:w="0" w:type="dxa"/>
            <w:right w:w="108" w:type="dxa"/>
          </w:tblCellMar>
        </w:tblPrEx>
        <w:trPr>
          <w:trHeight w:val="1654"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0"/>
                <w:szCs w:val="20"/>
              </w:rPr>
            </w:pPr>
            <w:r>
              <w:rPr>
                <w:rFonts w:hint="eastAsia"/>
                <w:b/>
                <w:bCs/>
                <w:color w:val="000000"/>
                <w:sz w:val="20"/>
                <w:szCs w:val="20"/>
                <w:lang w:val="en-US" w:bidi="ar"/>
              </w:rPr>
              <w:t>14</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bidi="ar"/>
              </w:rPr>
              <w:t>满意度调查</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bidi="ar"/>
              </w:rPr>
              <w:t>实现针对本院门诊、住院、取药、检验、检查等业务进行满意度调查，系统将依据管理后台配置的推送规则定向推送满意度调查问卷，患者可通过短信、app或微信公众号查看并填写问卷。医院管理员对投诉内容进行处理并回复处理结果后，系统可将处理结果推送给患者查看。</w:t>
            </w:r>
          </w:p>
        </w:tc>
      </w:tr>
      <w:tr>
        <w:tblPrEx>
          <w:tblCellMar>
            <w:top w:w="0" w:type="dxa"/>
            <w:left w:w="108" w:type="dxa"/>
            <w:bottom w:w="0" w:type="dxa"/>
            <w:right w:w="108" w:type="dxa"/>
          </w:tblCellMar>
        </w:tblPrEx>
        <w:trPr>
          <w:trHeight w:val="169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0"/>
                <w:szCs w:val="20"/>
              </w:rPr>
            </w:pPr>
            <w:r>
              <w:rPr>
                <w:rFonts w:hint="eastAsia"/>
                <w:b/>
                <w:bCs/>
                <w:color w:val="000000"/>
                <w:sz w:val="20"/>
                <w:szCs w:val="20"/>
                <w:lang w:val="en-US" w:bidi="ar"/>
              </w:rPr>
              <w:t>15</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bidi="ar"/>
              </w:rPr>
              <w:t>就医服务-医生端</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bidi="ar"/>
              </w:rPr>
              <w:t>门诊患者管理</w:t>
            </w:r>
          </w:p>
        </w:tc>
        <w:tc>
          <w:tcPr>
            <w:tcW w:w="6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bidi="ar"/>
              </w:rPr>
              <w:t>支持医生通过移动端APP以列表的形式对预约前来就诊的居民进行查询，并对居民的历史就诊信息，例如检查检验报告、以往门诊病历、药品处方、处置记录等信息进行查询，帮助医生在诊前了解居民健康状况</w:t>
            </w:r>
          </w:p>
        </w:tc>
      </w:tr>
      <w:tr>
        <w:tblPrEx>
          <w:tblCellMar>
            <w:top w:w="0" w:type="dxa"/>
            <w:left w:w="108" w:type="dxa"/>
            <w:bottom w:w="0" w:type="dxa"/>
            <w:right w:w="108" w:type="dxa"/>
          </w:tblCellMar>
        </w:tblPrEx>
        <w:trPr>
          <w:trHeight w:val="236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0"/>
                <w:szCs w:val="20"/>
              </w:rPr>
            </w:pPr>
            <w:r>
              <w:rPr>
                <w:rFonts w:hint="eastAsia"/>
                <w:b/>
                <w:bCs/>
                <w:color w:val="000000"/>
                <w:sz w:val="20"/>
                <w:szCs w:val="20"/>
                <w:lang w:val="en-US" w:bidi="ar"/>
              </w:rPr>
              <w:t>16</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bidi="ar"/>
              </w:rPr>
              <w:t>住院患者管理</w:t>
            </w:r>
          </w:p>
        </w:tc>
        <w:tc>
          <w:tcPr>
            <w:tcW w:w="6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微软雅黑" w:hAnsi="微软雅黑" w:eastAsia="微软雅黑" w:cs="微软雅黑"/>
                <w:color w:val="000000"/>
                <w:sz w:val="20"/>
                <w:szCs w:val="20"/>
                <w:lang w:val="en-US" w:eastAsia="zh-CN" w:bidi="ar"/>
              </w:rPr>
            </w:pPr>
            <w:r>
              <w:rPr>
                <w:rFonts w:hint="eastAsia" w:ascii="微软雅黑" w:hAnsi="微软雅黑" w:eastAsia="微软雅黑" w:cs="微软雅黑"/>
                <w:color w:val="000000"/>
                <w:sz w:val="20"/>
                <w:szCs w:val="20"/>
                <w:lang w:val="en-US" w:bidi="ar"/>
              </w:rPr>
              <w:t>住院患者管理功能实现医生通过平台在APP端对住院患者的医疗信息数据进行查询。</w:t>
            </w:r>
          </w:p>
          <w:p>
            <w:pPr>
              <w:widowControl/>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bidi="ar"/>
              </w:rPr>
              <w:t>医生通过APP可以方便的了解住院患者的医嘱信息、报告信息、费用信息以及患者病情的危重状态，过敏药物提醒，欠费提醒，帮助医生随时随地掌握患者情况。并可以通过看板方式查看住院患者的流向，也支持向患者添加备忘录、上传院外病历功能；支持对患者的标签化管理</w:t>
            </w:r>
          </w:p>
        </w:tc>
      </w:tr>
      <w:tr>
        <w:tblPrEx>
          <w:tblCellMar>
            <w:top w:w="0" w:type="dxa"/>
            <w:left w:w="108" w:type="dxa"/>
            <w:bottom w:w="0" w:type="dxa"/>
            <w:right w:w="108" w:type="dxa"/>
          </w:tblCellMar>
        </w:tblPrEx>
        <w:trPr>
          <w:trHeight w:val="107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0"/>
                <w:szCs w:val="20"/>
              </w:rPr>
            </w:pPr>
            <w:r>
              <w:rPr>
                <w:rFonts w:hint="eastAsia"/>
                <w:b/>
                <w:bCs/>
                <w:color w:val="000000"/>
                <w:sz w:val="20"/>
                <w:szCs w:val="20"/>
                <w:lang w:val="en-US" w:bidi="ar"/>
              </w:rPr>
              <w:t>17</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bidi="ar"/>
              </w:rPr>
              <w:t>危急值管理</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bidi="ar"/>
              </w:rPr>
              <w:t>能够查询对居民出现的危急值情况及当时医护人员采取的相关处理措施的记录，实时提醒医生居民的危急值，从而实现危急跟踪服务，便于医生全方面了解居民的健康状况</w:t>
            </w:r>
          </w:p>
        </w:tc>
      </w:tr>
      <w:tr>
        <w:tblPrEx>
          <w:tblCellMar>
            <w:top w:w="0" w:type="dxa"/>
            <w:left w:w="108" w:type="dxa"/>
            <w:bottom w:w="0" w:type="dxa"/>
            <w:right w:w="108" w:type="dxa"/>
          </w:tblCellMar>
        </w:tblPrEx>
        <w:trPr>
          <w:trHeight w:val="519"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0"/>
                <w:szCs w:val="20"/>
              </w:rPr>
            </w:pPr>
            <w:r>
              <w:rPr>
                <w:rFonts w:hint="eastAsia"/>
                <w:b/>
                <w:bCs/>
                <w:color w:val="000000"/>
                <w:sz w:val="20"/>
                <w:szCs w:val="20"/>
                <w:lang w:val="en-US" w:bidi="ar"/>
              </w:rPr>
              <w:t>18</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bidi="ar"/>
              </w:rPr>
              <w:t>抗菌药物审核</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bidi="ar"/>
              </w:rPr>
              <w:t>支持对临床申请的抗菌药物申请进行审核。</w:t>
            </w:r>
          </w:p>
        </w:tc>
      </w:tr>
      <w:tr>
        <w:tblPrEx>
          <w:tblCellMar>
            <w:top w:w="0" w:type="dxa"/>
            <w:left w:w="108" w:type="dxa"/>
            <w:bottom w:w="0" w:type="dxa"/>
            <w:right w:w="108" w:type="dxa"/>
          </w:tblCellMar>
        </w:tblPrEx>
        <w:trPr>
          <w:trHeight w:val="687"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0"/>
                <w:szCs w:val="20"/>
              </w:rPr>
            </w:pPr>
            <w:r>
              <w:rPr>
                <w:rFonts w:hint="eastAsia"/>
                <w:b/>
                <w:bCs/>
                <w:color w:val="000000"/>
                <w:sz w:val="20"/>
                <w:szCs w:val="20"/>
                <w:lang w:val="en-US" w:bidi="ar"/>
              </w:rPr>
              <w:t>19</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bidi="ar"/>
              </w:rPr>
              <w:t>电子通行证核发</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bidi="ar"/>
              </w:rPr>
              <w:t>实现在疫情等特殊时期，启用患者诊前填写流行病学调查表，获取院内通行码功能。</w:t>
            </w:r>
          </w:p>
        </w:tc>
      </w:tr>
      <w:tr>
        <w:tblPrEx>
          <w:tblCellMar>
            <w:top w:w="0" w:type="dxa"/>
            <w:left w:w="108" w:type="dxa"/>
            <w:bottom w:w="0" w:type="dxa"/>
            <w:right w:w="108" w:type="dxa"/>
          </w:tblCellMar>
        </w:tblPrEx>
        <w:trPr>
          <w:trHeight w:val="250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0"/>
                <w:szCs w:val="20"/>
              </w:rPr>
            </w:pPr>
            <w:r>
              <w:rPr>
                <w:rFonts w:hint="eastAsia"/>
                <w:b/>
                <w:bCs/>
                <w:color w:val="000000"/>
                <w:sz w:val="20"/>
                <w:szCs w:val="20"/>
                <w:lang w:val="en-US" w:bidi="ar"/>
              </w:rPr>
              <w:t>20</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bidi="ar"/>
              </w:rPr>
              <w:t>互联网诊疗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bidi="ar"/>
              </w:rPr>
              <w:t>在线医嘱</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微软雅黑" w:hAnsi="微软雅黑" w:eastAsia="微软雅黑" w:cs="微软雅黑"/>
                <w:color w:val="000000"/>
                <w:sz w:val="20"/>
                <w:szCs w:val="20"/>
                <w:lang w:val="en-US" w:eastAsia="zh-CN" w:bidi="ar"/>
              </w:rPr>
            </w:pPr>
            <w:r>
              <w:rPr>
                <w:rFonts w:hint="eastAsia" w:ascii="微软雅黑" w:hAnsi="微软雅黑" w:eastAsia="微软雅黑" w:cs="微软雅黑"/>
                <w:color w:val="000000"/>
                <w:sz w:val="20"/>
                <w:szCs w:val="20"/>
                <w:lang w:val="en-US" w:bidi="ar"/>
              </w:rPr>
              <w:t>包含在线处方、检验检查单的开立；</w:t>
            </w:r>
          </w:p>
          <w:p>
            <w:pPr>
              <w:widowControl/>
              <w:textAlignment w:val="center"/>
              <w:rPr>
                <w:rFonts w:hint="eastAsia" w:ascii="微软雅黑" w:hAnsi="微软雅黑" w:eastAsia="微软雅黑" w:cs="微软雅黑"/>
                <w:color w:val="000000"/>
                <w:sz w:val="20"/>
                <w:szCs w:val="20"/>
                <w:lang w:val="en-US" w:eastAsia="zh-CN" w:bidi="ar"/>
              </w:rPr>
            </w:pPr>
            <w:r>
              <w:rPr>
                <w:rFonts w:hint="eastAsia" w:ascii="微软雅黑" w:hAnsi="微软雅黑" w:eastAsia="微软雅黑" w:cs="微软雅黑"/>
                <w:color w:val="000000"/>
                <w:sz w:val="20"/>
                <w:szCs w:val="20"/>
                <w:lang w:val="en-US" w:bidi="ar"/>
              </w:rPr>
              <w:t>实现在线上问诊时书写病历，同时支持快捷引用常用医嘱项目（处方，</w:t>
            </w:r>
            <w:r>
              <w:rPr>
                <w:rFonts w:hint="eastAsia" w:ascii="微软雅黑" w:hAnsi="微软雅黑" w:eastAsia="微软雅黑" w:cs="微软雅黑"/>
                <w:color w:val="FF0000"/>
                <w:sz w:val="20"/>
                <w:szCs w:val="20"/>
                <w:lang w:val="en-US" w:bidi="ar"/>
              </w:rPr>
              <w:t>检验，检查，</w:t>
            </w:r>
            <w:r>
              <w:rPr>
                <w:rFonts w:hint="eastAsia" w:ascii="微软雅黑" w:hAnsi="微软雅黑" w:eastAsia="微软雅黑" w:cs="微软雅黑"/>
                <w:color w:val="000000"/>
                <w:sz w:val="20"/>
                <w:szCs w:val="20"/>
                <w:lang w:val="en-US" w:bidi="ar"/>
              </w:rPr>
              <w:t>病历，诊断）</w:t>
            </w:r>
          </w:p>
          <w:p>
            <w:pPr>
              <w:widowControl/>
              <w:textAlignment w:val="center"/>
              <w:rPr>
                <w:rFonts w:hint="eastAsia" w:ascii="微软雅黑" w:hAnsi="微软雅黑" w:eastAsia="微软雅黑" w:cs="微软雅黑"/>
                <w:color w:val="000000"/>
                <w:sz w:val="20"/>
                <w:szCs w:val="20"/>
                <w:lang w:val="en-US" w:eastAsia="zh-CN" w:bidi="ar"/>
              </w:rPr>
            </w:pPr>
            <w:r>
              <w:rPr>
                <w:rFonts w:hint="eastAsia" w:ascii="微软雅黑" w:hAnsi="微软雅黑" w:eastAsia="微软雅黑" w:cs="微软雅黑"/>
                <w:color w:val="000000"/>
                <w:sz w:val="20"/>
                <w:szCs w:val="20"/>
                <w:lang w:val="en-US" w:bidi="ar"/>
              </w:rPr>
              <w:t>实现在线上问诊时，为患者开具外延处方</w:t>
            </w:r>
          </w:p>
          <w:p>
            <w:pPr>
              <w:widowControl/>
              <w:textAlignment w:val="center"/>
              <w:rPr>
                <w:rFonts w:hint="eastAsia" w:ascii="微软雅黑" w:hAnsi="微软雅黑" w:eastAsia="微软雅黑" w:cs="微软雅黑"/>
                <w:color w:val="000000"/>
                <w:sz w:val="20"/>
                <w:szCs w:val="20"/>
                <w:lang w:val="en-US" w:eastAsia="zh-CN" w:bidi="ar"/>
              </w:rPr>
            </w:pPr>
            <w:r>
              <w:rPr>
                <w:rFonts w:hint="eastAsia" w:ascii="微软雅黑" w:hAnsi="微软雅黑" w:eastAsia="微软雅黑" w:cs="微软雅黑"/>
                <w:color w:val="000000"/>
                <w:sz w:val="20"/>
                <w:szCs w:val="20"/>
                <w:lang w:val="en-US" w:bidi="ar"/>
              </w:rPr>
              <w:t>实现问诊过程中，医生直接给患者进行检验、检查的预约</w:t>
            </w:r>
          </w:p>
          <w:p>
            <w:pPr>
              <w:widowControl/>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bidi="ar"/>
              </w:rPr>
              <w:t>实现药师通过APP在线审核处方。药师收到医生开出的在线处方，可当即审核是否合理。支持在审核排班之外，查看已审核的处方详情</w:t>
            </w:r>
          </w:p>
        </w:tc>
      </w:tr>
      <w:tr>
        <w:tblPrEx>
          <w:tblCellMar>
            <w:top w:w="0" w:type="dxa"/>
            <w:left w:w="108" w:type="dxa"/>
            <w:bottom w:w="0" w:type="dxa"/>
            <w:right w:w="108" w:type="dxa"/>
          </w:tblCellMar>
        </w:tblPrEx>
        <w:trPr>
          <w:trHeight w:val="4617"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0"/>
                <w:szCs w:val="20"/>
              </w:rPr>
            </w:pPr>
            <w:r>
              <w:rPr>
                <w:rFonts w:hint="eastAsia"/>
                <w:b/>
                <w:bCs/>
                <w:color w:val="000000"/>
                <w:sz w:val="20"/>
                <w:szCs w:val="20"/>
                <w:lang w:val="en-US" w:bidi="ar"/>
              </w:rPr>
              <w:t>21</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bidi="ar"/>
              </w:rPr>
              <w:t>在线问诊</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微软雅黑" w:hAnsi="微软雅黑" w:eastAsia="微软雅黑" w:cs="微软雅黑"/>
                <w:color w:val="000000"/>
                <w:sz w:val="20"/>
                <w:szCs w:val="20"/>
                <w:lang w:val="en-US" w:eastAsia="zh-CN" w:bidi="ar"/>
              </w:rPr>
            </w:pPr>
            <w:r>
              <w:rPr>
                <w:rFonts w:hint="eastAsia" w:ascii="微软雅黑" w:hAnsi="微软雅黑" w:eastAsia="微软雅黑" w:cs="微软雅黑"/>
                <w:color w:val="000000"/>
                <w:sz w:val="20"/>
                <w:szCs w:val="20"/>
                <w:lang w:val="en-US" w:bidi="ar"/>
              </w:rPr>
              <w:t>在线问诊功能实现居民通过APP/微信公众号/小程序等向医生发起图文、电话、视频等方式的问诊服务：</w:t>
            </w:r>
          </w:p>
          <w:p>
            <w:pPr>
              <w:widowControl/>
              <w:textAlignment w:val="center"/>
              <w:rPr>
                <w:rFonts w:hint="eastAsia" w:ascii="微软雅黑" w:hAnsi="微软雅黑" w:eastAsia="微软雅黑" w:cs="微软雅黑"/>
                <w:color w:val="000000"/>
                <w:sz w:val="20"/>
                <w:szCs w:val="20"/>
                <w:lang w:val="en-US" w:eastAsia="zh-CN" w:bidi="ar"/>
              </w:rPr>
            </w:pPr>
            <w:r>
              <w:rPr>
                <w:rFonts w:hint="eastAsia" w:ascii="微软雅黑" w:hAnsi="微软雅黑" w:eastAsia="微软雅黑" w:cs="微软雅黑"/>
                <w:color w:val="000000"/>
                <w:sz w:val="20"/>
                <w:szCs w:val="20"/>
                <w:lang w:val="en-US" w:bidi="ar"/>
              </w:rPr>
              <w:t>1、系统实现按日期、科室等方式查找医生及科室普通号，并实现分时段预约；支持依据患者近期门诊、互联网诊疗记录推荐复诊医生；</w:t>
            </w:r>
          </w:p>
          <w:p>
            <w:pPr>
              <w:widowControl/>
              <w:textAlignment w:val="center"/>
              <w:rPr>
                <w:rFonts w:hint="eastAsia" w:ascii="微软雅黑" w:hAnsi="微软雅黑" w:eastAsia="微软雅黑" w:cs="微软雅黑"/>
                <w:color w:val="000000"/>
                <w:sz w:val="20"/>
                <w:szCs w:val="20"/>
                <w:lang w:val="en-US" w:eastAsia="zh-CN" w:bidi="ar"/>
              </w:rPr>
            </w:pPr>
            <w:r>
              <w:rPr>
                <w:rFonts w:hint="eastAsia" w:ascii="微软雅黑" w:hAnsi="微软雅黑" w:eastAsia="微软雅黑" w:cs="微软雅黑"/>
                <w:color w:val="000000"/>
                <w:sz w:val="20"/>
                <w:szCs w:val="20"/>
                <w:lang w:val="en-US" w:bidi="ar"/>
              </w:rPr>
              <w:t>2、居民可在预约过程中提交现病史、既往史、过敏史，并支持上传病历资料，并填写配药需求；</w:t>
            </w:r>
          </w:p>
          <w:p>
            <w:pPr>
              <w:widowControl/>
              <w:textAlignment w:val="center"/>
              <w:rPr>
                <w:rFonts w:hint="eastAsia" w:ascii="微软雅黑" w:hAnsi="微软雅黑" w:eastAsia="微软雅黑" w:cs="微软雅黑"/>
                <w:color w:val="000000"/>
                <w:sz w:val="20"/>
                <w:szCs w:val="20"/>
                <w:lang w:val="en-US" w:eastAsia="zh-CN" w:bidi="ar"/>
              </w:rPr>
            </w:pPr>
            <w:r>
              <w:rPr>
                <w:rFonts w:hint="eastAsia" w:ascii="微软雅黑" w:hAnsi="微软雅黑" w:eastAsia="微软雅黑" w:cs="微软雅黑"/>
                <w:color w:val="000000"/>
                <w:sz w:val="20"/>
                <w:szCs w:val="20"/>
                <w:lang w:val="en-US" w:bidi="ar"/>
              </w:rPr>
              <w:t>3、问诊过程中，支持基于IM即时通讯服务的图片、文字图片，使用虚拟电话进行电话沟通以及视频通话；</w:t>
            </w:r>
          </w:p>
          <w:p>
            <w:pPr>
              <w:widowControl/>
              <w:textAlignment w:val="center"/>
              <w:rPr>
                <w:rFonts w:hint="eastAsia" w:ascii="微软雅黑" w:hAnsi="微软雅黑" w:eastAsia="微软雅黑" w:cs="微软雅黑"/>
                <w:color w:val="000000"/>
                <w:sz w:val="20"/>
                <w:szCs w:val="20"/>
                <w:lang w:val="en-US" w:eastAsia="zh-CN" w:bidi="ar"/>
              </w:rPr>
            </w:pPr>
            <w:r>
              <w:rPr>
                <w:rFonts w:hint="eastAsia" w:ascii="微软雅黑" w:hAnsi="微软雅黑" w:eastAsia="微软雅黑" w:cs="微软雅黑"/>
                <w:color w:val="000000"/>
                <w:sz w:val="20"/>
                <w:szCs w:val="20"/>
                <w:lang w:val="en-US" w:bidi="ar"/>
              </w:rPr>
              <w:t>4、问诊结束后，患者查看医生开具的电子处方，进行在线支付和配送登记，药品配送到居民家中；可查看医生开具的电子病历文书</w:t>
            </w:r>
          </w:p>
          <w:p>
            <w:pPr>
              <w:widowControl/>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bidi="ar"/>
              </w:rPr>
              <w:t>5、问诊结束后，患者可对本次服务进行评价，通APP查看在线问诊的电子病历</w:t>
            </w:r>
          </w:p>
        </w:tc>
      </w:tr>
      <w:tr>
        <w:tblPrEx>
          <w:tblCellMar>
            <w:top w:w="0" w:type="dxa"/>
            <w:left w:w="108" w:type="dxa"/>
            <w:bottom w:w="0" w:type="dxa"/>
            <w:right w:w="108" w:type="dxa"/>
          </w:tblCellMar>
        </w:tblPrEx>
        <w:trPr>
          <w:trHeight w:val="240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0"/>
                <w:szCs w:val="20"/>
              </w:rPr>
            </w:pPr>
            <w:r>
              <w:rPr>
                <w:rFonts w:hint="eastAsia"/>
                <w:b/>
                <w:bCs/>
                <w:color w:val="000000"/>
                <w:sz w:val="20"/>
                <w:szCs w:val="20"/>
                <w:lang w:val="en-US" w:bidi="ar"/>
              </w:rPr>
              <w:t>22</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bidi="ar"/>
              </w:rPr>
              <w:t>复诊配药</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微软雅黑" w:hAnsi="微软雅黑" w:eastAsia="微软雅黑" w:cs="微软雅黑"/>
                <w:color w:val="000000"/>
                <w:sz w:val="20"/>
                <w:szCs w:val="20"/>
                <w:lang w:val="en-US" w:eastAsia="zh-CN" w:bidi="ar"/>
              </w:rPr>
            </w:pPr>
            <w:r>
              <w:rPr>
                <w:rFonts w:hint="eastAsia" w:ascii="微软雅黑" w:hAnsi="微软雅黑" w:eastAsia="微软雅黑" w:cs="微软雅黑"/>
                <w:color w:val="000000"/>
                <w:sz w:val="20"/>
                <w:szCs w:val="20"/>
                <w:lang w:val="en-US" w:bidi="ar"/>
              </w:rPr>
              <w:t>复诊配药功能实现复诊患者通过APP/微信公众号/小程序等向医生发起复诊配药服务：</w:t>
            </w:r>
          </w:p>
          <w:p>
            <w:pPr>
              <w:widowControl/>
              <w:textAlignment w:val="center"/>
              <w:rPr>
                <w:rFonts w:hint="eastAsia" w:ascii="微软雅黑" w:hAnsi="微软雅黑" w:eastAsia="微软雅黑" w:cs="微软雅黑"/>
                <w:color w:val="000000"/>
                <w:sz w:val="20"/>
                <w:szCs w:val="20"/>
                <w:lang w:val="en-US" w:eastAsia="zh-CN" w:bidi="ar"/>
              </w:rPr>
            </w:pPr>
            <w:r>
              <w:rPr>
                <w:rFonts w:hint="eastAsia" w:ascii="微软雅黑" w:hAnsi="微软雅黑" w:eastAsia="微软雅黑" w:cs="微软雅黑"/>
                <w:color w:val="000000"/>
                <w:sz w:val="20"/>
                <w:szCs w:val="20"/>
                <w:lang w:val="en-US" w:bidi="ar"/>
              </w:rPr>
              <w:t>1、已在本院就诊的患者可提交所需药品，以及现病史、上传病历资料；</w:t>
            </w:r>
          </w:p>
          <w:p>
            <w:pPr>
              <w:widowControl/>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bidi="ar"/>
              </w:rPr>
              <w:t>2、医生接到申请后，在线开具处方，经药师审核后，将电子处方发送给居民，居民在线选择取药方式（支持到院取药或物流配送），选择物流配送后，居民在线支付药费，药品配送到家。</w:t>
            </w:r>
          </w:p>
        </w:tc>
      </w:tr>
      <w:tr>
        <w:tblPrEx>
          <w:tblCellMar>
            <w:top w:w="0" w:type="dxa"/>
            <w:left w:w="108" w:type="dxa"/>
            <w:bottom w:w="0" w:type="dxa"/>
            <w:right w:w="108" w:type="dxa"/>
          </w:tblCellMar>
        </w:tblPrEx>
        <w:trPr>
          <w:trHeight w:val="51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0"/>
                <w:szCs w:val="20"/>
              </w:rPr>
            </w:pPr>
            <w:r>
              <w:rPr>
                <w:rFonts w:hint="eastAsia"/>
                <w:b/>
                <w:bCs/>
                <w:color w:val="000000"/>
                <w:sz w:val="20"/>
                <w:szCs w:val="20"/>
                <w:lang w:val="en-US" w:bidi="ar"/>
              </w:rPr>
              <w:t>23</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
                <w:bCs/>
                <w:color w:val="000000"/>
                <w:sz w:val="20"/>
                <w:szCs w:val="20"/>
              </w:rPr>
            </w:pPr>
            <w:r>
              <w:rPr>
                <w:rFonts w:hint="eastAsia"/>
                <w:b/>
                <w:bCs/>
                <w:color w:val="000000"/>
                <w:sz w:val="20"/>
                <w:szCs w:val="20"/>
                <w:lang w:val="en-US" w:bidi="ar"/>
              </w:rPr>
              <w:t>专病管理路径</w:t>
            </w:r>
          </w:p>
        </w:tc>
        <w:tc>
          <w:tcPr>
            <w:tcW w:w="1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
                <w:bCs/>
                <w:color w:val="000000"/>
                <w:sz w:val="20"/>
                <w:szCs w:val="20"/>
              </w:rPr>
            </w:pPr>
            <w:r>
              <w:rPr>
                <w:rFonts w:hint="eastAsia"/>
                <w:b/>
                <w:bCs/>
                <w:color w:val="000000"/>
                <w:sz w:val="20"/>
                <w:szCs w:val="20"/>
                <w:lang w:val="en-US" w:bidi="ar"/>
              </w:rPr>
              <w:t>基础服务</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bidi="ar"/>
              </w:rPr>
              <w:t>专病路径管理系统基础服务。</w:t>
            </w:r>
          </w:p>
        </w:tc>
      </w:tr>
      <w:tr>
        <w:tblPrEx>
          <w:tblCellMar>
            <w:top w:w="0" w:type="dxa"/>
            <w:left w:w="108" w:type="dxa"/>
            <w:bottom w:w="0" w:type="dxa"/>
            <w:right w:w="108" w:type="dxa"/>
          </w:tblCellMar>
        </w:tblPrEx>
        <w:trPr>
          <w:trHeight w:val="107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0"/>
                <w:szCs w:val="20"/>
              </w:rPr>
            </w:pPr>
            <w:r>
              <w:rPr>
                <w:rFonts w:hint="eastAsia"/>
                <w:b/>
                <w:bCs/>
                <w:color w:val="000000"/>
                <w:sz w:val="20"/>
                <w:szCs w:val="20"/>
                <w:lang w:val="en-US" w:bidi="ar"/>
              </w:rPr>
              <w:t>24</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b/>
                <w:bCs/>
                <w:color w:val="000000"/>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
                <w:bCs/>
                <w:color w:val="000000"/>
                <w:sz w:val="20"/>
                <w:szCs w:val="20"/>
              </w:rPr>
            </w:pPr>
            <w:r>
              <w:rPr>
                <w:rFonts w:hint="eastAsia"/>
                <w:b/>
                <w:bCs/>
                <w:color w:val="000000"/>
                <w:sz w:val="20"/>
                <w:szCs w:val="20"/>
                <w:lang w:val="en-US" w:bidi="ar"/>
              </w:rPr>
              <w:t>专科病种</w:t>
            </w:r>
          </w:p>
        </w:tc>
        <w:tc>
          <w:tcPr>
            <w:tcW w:w="6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bidi="ar"/>
              </w:rPr>
              <w:t>实现医护人员配置专科随访的病种，支持配置病种的基本信息、分期规则、基本属性（关联指标，手术，诊断等项目）、拓展属性、诊疗数据同步规则。</w:t>
            </w:r>
          </w:p>
        </w:tc>
      </w:tr>
      <w:tr>
        <w:tblPrEx>
          <w:tblCellMar>
            <w:top w:w="0" w:type="dxa"/>
            <w:left w:w="108" w:type="dxa"/>
            <w:bottom w:w="0" w:type="dxa"/>
            <w:right w:w="108" w:type="dxa"/>
          </w:tblCellMar>
        </w:tblPrEx>
        <w:trPr>
          <w:trHeight w:val="51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0"/>
                <w:szCs w:val="20"/>
              </w:rPr>
            </w:pPr>
            <w:r>
              <w:rPr>
                <w:rFonts w:hint="eastAsia"/>
                <w:b/>
                <w:bCs/>
                <w:color w:val="000000"/>
                <w:sz w:val="20"/>
                <w:szCs w:val="20"/>
                <w:lang w:val="en-US" w:bidi="ar"/>
              </w:rPr>
              <w:t>25</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b/>
                <w:bCs/>
                <w:color w:val="000000"/>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
                <w:bCs/>
                <w:color w:val="000000"/>
                <w:sz w:val="20"/>
                <w:szCs w:val="20"/>
              </w:rPr>
            </w:pPr>
            <w:r>
              <w:rPr>
                <w:rFonts w:hint="eastAsia"/>
                <w:b/>
                <w:bCs/>
                <w:color w:val="000000"/>
                <w:sz w:val="20"/>
                <w:szCs w:val="20"/>
                <w:lang w:val="en-US" w:bidi="ar"/>
              </w:rPr>
              <w:t>专科团队</w:t>
            </w:r>
          </w:p>
        </w:tc>
        <w:tc>
          <w:tcPr>
            <w:tcW w:w="6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bidi="ar"/>
              </w:rPr>
              <w:t>支持配置专科管理团队</w:t>
            </w:r>
          </w:p>
        </w:tc>
      </w:tr>
      <w:tr>
        <w:tblPrEx>
          <w:tblCellMar>
            <w:top w:w="0" w:type="dxa"/>
            <w:left w:w="108" w:type="dxa"/>
            <w:bottom w:w="0" w:type="dxa"/>
            <w:right w:w="108" w:type="dxa"/>
          </w:tblCellMar>
        </w:tblPrEx>
        <w:trPr>
          <w:trHeight w:val="2244"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0"/>
                <w:szCs w:val="20"/>
              </w:rPr>
            </w:pPr>
            <w:r>
              <w:rPr>
                <w:rFonts w:hint="eastAsia"/>
                <w:b/>
                <w:bCs/>
                <w:color w:val="000000"/>
                <w:sz w:val="20"/>
                <w:szCs w:val="20"/>
                <w:lang w:val="en-US" w:bidi="ar"/>
              </w:rPr>
              <w:t>26</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b/>
                <w:bCs/>
                <w:color w:val="000000"/>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
                <w:bCs/>
                <w:color w:val="000000"/>
                <w:sz w:val="20"/>
                <w:szCs w:val="20"/>
              </w:rPr>
            </w:pPr>
            <w:r>
              <w:rPr>
                <w:rFonts w:hint="eastAsia"/>
                <w:b/>
                <w:bCs/>
                <w:color w:val="000000"/>
                <w:sz w:val="20"/>
                <w:szCs w:val="20"/>
                <w:lang w:val="en-US" w:bidi="ar"/>
              </w:rPr>
              <w:t>专科随访病历定义</w:t>
            </w:r>
          </w:p>
        </w:tc>
        <w:tc>
          <w:tcPr>
            <w:tcW w:w="6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微软雅黑" w:hAnsi="微软雅黑" w:eastAsia="微软雅黑" w:cs="微软雅黑"/>
                <w:color w:val="000000"/>
                <w:sz w:val="20"/>
                <w:szCs w:val="20"/>
                <w:lang w:val="en-US" w:eastAsia="zh-CN" w:bidi="ar"/>
              </w:rPr>
            </w:pPr>
            <w:r>
              <w:rPr>
                <w:rFonts w:hint="eastAsia" w:ascii="微软雅黑" w:hAnsi="微软雅黑" w:eastAsia="微软雅黑" w:cs="微软雅黑"/>
                <w:color w:val="000000"/>
                <w:sz w:val="20"/>
                <w:szCs w:val="20"/>
                <w:lang w:val="en-US" w:bidi="ar"/>
              </w:rPr>
              <w:t>实现医护人员配置专科随访的记录表单：</w:t>
            </w:r>
          </w:p>
          <w:p>
            <w:pPr>
              <w:widowControl/>
              <w:textAlignment w:val="center"/>
              <w:rPr>
                <w:rFonts w:hint="eastAsia" w:ascii="微软雅黑" w:hAnsi="微软雅黑" w:eastAsia="微软雅黑" w:cs="微软雅黑"/>
                <w:color w:val="000000"/>
                <w:sz w:val="20"/>
                <w:szCs w:val="20"/>
                <w:lang w:val="en-US" w:eastAsia="zh-CN" w:bidi="ar"/>
              </w:rPr>
            </w:pPr>
            <w:r>
              <w:rPr>
                <w:rFonts w:hint="eastAsia" w:ascii="微软雅黑" w:hAnsi="微软雅黑" w:eastAsia="微软雅黑" w:cs="微软雅黑"/>
                <w:color w:val="000000"/>
                <w:sz w:val="20"/>
                <w:szCs w:val="20"/>
                <w:lang w:val="en-US" w:bidi="ar"/>
              </w:rPr>
              <w:t>1、支持单选、多选、填空等多种常见题型及题目间显示逻辑及跳转逻辑的配置</w:t>
            </w:r>
          </w:p>
          <w:p>
            <w:pPr>
              <w:widowControl/>
              <w:textAlignment w:val="center"/>
              <w:rPr>
                <w:rFonts w:hint="eastAsia" w:ascii="微软雅黑" w:hAnsi="微软雅黑" w:eastAsia="微软雅黑" w:cs="微软雅黑"/>
                <w:color w:val="000000"/>
                <w:sz w:val="20"/>
                <w:szCs w:val="20"/>
                <w:lang w:val="en-US" w:eastAsia="zh-CN" w:bidi="ar"/>
              </w:rPr>
            </w:pPr>
            <w:r>
              <w:rPr>
                <w:rFonts w:hint="eastAsia" w:ascii="微软雅黑" w:hAnsi="微软雅黑" w:eastAsia="微软雅黑" w:cs="微软雅黑"/>
                <w:color w:val="000000"/>
                <w:sz w:val="20"/>
                <w:szCs w:val="20"/>
                <w:lang w:val="en-US" w:bidi="ar"/>
              </w:rPr>
              <w:t>2、支持临床常用的门诊、住院、手术、用药等题目输入控件</w:t>
            </w:r>
          </w:p>
          <w:p>
            <w:pPr>
              <w:widowControl/>
              <w:textAlignment w:val="center"/>
              <w:rPr>
                <w:rFonts w:hint="eastAsia" w:ascii="微软雅黑" w:hAnsi="微软雅黑" w:eastAsia="微软雅黑" w:cs="微软雅黑"/>
                <w:color w:val="000000"/>
                <w:sz w:val="20"/>
                <w:szCs w:val="20"/>
                <w:lang w:val="en-US" w:eastAsia="zh-CN" w:bidi="ar"/>
              </w:rPr>
            </w:pPr>
            <w:r>
              <w:rPr>
                <w:rFonts w:hint="eastAsia" w:ascii="微软雅黑" w:hAnsi="微软雅黑" w:eastAsia="微软雅黑" w:cs="微软雅黑"/>
                <w:color w:val="000000"/>
                <w:sz w:val="20"/>
                <w:szCs w:val="20"/>
                <w:lang w:val="en-US" w:bidi="ar"/>
              </w:rPr>
              <w:t>3、支持自定义题目选项的自动填充规则、分值、异常标识</w:t>
            </w:r>
          </w:p>
          <w:p>
            <w:pPr>
              <w:widowControl/>
              <w:textAlignment w:val="center"/>
              <w:rPr>
                <w:rFonts w:hint="eastAsia" w:ascii="微软雅黑" w:hAnsi="微软雅黑" w:eastAsia="微软雅黑" w:cs="微软雅黑"/>
                <w:color w:val="000000"/>
                <w:sz w:val="20"/>
                <w:szCs w:val="20"/>
                <w:lang w:val="en-US" w:eastAsia="zh-CN" w:bidi="ar"/>
              </w:rPr>
            </w:pPr>
            <w:r>
              <w:rPr>
                <w:rFonts w:hint="eastAsia" w:ascii="微软雅黑" w:hAnsi="微软雅黑" w:eastAsia="微软雅黑" w:cs="微软雅黑"/>
                <w:color w:val="000000"/>
                <w:sz w:val="20"/>
                <w:szCs w:val="20"/>
                <w:lang w:val="en-US" w:bidi="ar"/>
              </w:rPr>
              <w:t>4、支持问卷在PC端和移动端的预览</w:t>
            </w:r>
          </w:p>
          <w:p>
            <w:pPr>
              <w:widowControl/>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bidi="ar"/>
              </w:rPr>
              <w:t>5、支持发布、停用、复制、变更等问卷管理</w:t>
            </w:r>
          </w:p>
        </w:tc>
      </w:tr>
      <w:tr>
        <w:tblPrEx>
          <w:tblCellMar>
            <w:top w:w="0" w:type="dxa"/>
            <w:left w:w="108" w:type="dxa"/>
            <w:bottom w:w="0" w:type="dxa"/>
            <w:right w:w="108" w:type="dxa"/>
          </w:tblCellMar>
        </w:tblPrEx>
        <w:trPr>
          <w:trHeight w:val="2026"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0"/>
                <w:szCs w:val="20"/>
              </w:rPr>
            </w:pPr>
            <w:r>
              <w:rPr>
                <w:rFonts w:hint="eastAsia"/>
                <w:b/>
                <w:bCs/>
                <w:color w:val="000000"/>
                <w:sz w:val="20"/>
                <w:szCs w:val="20"/>
                <w:lang w:val="en-US" w:bidi="ar"/>
              </w:rPr>
              <w:t>27</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b/>
                <w:bCs/>
                <w:color w:val="000000"/>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
                <w:bCs/>
                <w:color w:val="000000"/>
                <w:sz w:val="20"/>
                <w:szCs w:val="20"/>
              </w:rPr>
            </w:pPr>
            <w:r>
              <w:rPr>
                <w:rFonts w:hint="eastAsia"/>
                <w:b/>
                <w:bCs/>
                <w:color w:val="000000"/>
                <w:sz w:val="20"/>
                <w:szCs w:val="20"/>
                <w:lang w:val="en-US" w:bidi="ar"/>
              </w:rPr>
              <w:t>专科随访路径定义</w:t>
            </w:r>
          </w:p>
        </w:tc>
        <w:tc>
          <w:tcPr>
            <w:tcW w:w="6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微软雅黑" w:hAnsi="微软雅黑" w:eastAsia="微软雅黑" w:cs="微软雅黑"/>
                <w:color w:val="000000"/>
                <w:sz w:val="20"/>
                <w:szCs w:val="20"/>
                <w:lang w:val="en-US" w:eastAsia="zh-CN" w:bidi="ar"/>
              </w:rPr>
            </w:pPr>
            <w:r>
              <w:rPr>
                <w:rFonts w:hint="eastAsia" w:ascii="微软雅黑" w:hAnsi="微软雅黑" w:eastAsia="微软雅黑" w:cs="微软雅黑"/>
                <w:color w:val="000000"/>
                <w:sz w:val="20"/>
                <w:szCs w:val="20"/>
                <w:lang w:val="en-US" w:bidi="ar"/>
              </w:rPr>
              <w:t>1、实现医护人员按病种设置随访路径，系统将在患者入组后依据路径设置的规则自动生成随访任务并分配给相应的责任医师（护）</w:t>
            </w:r>
          </w:p>
          <w:p>
            <w:pPr>
              <w:widowControl/>
              <w:textAlignment w:val="center"/>
              <w:rPr>
                <w:rFonts w:hint="eastAsia" w:ascii="微软雅黑" w:hAnsi="微软雅黑" w:eastAsia="微软雅黑" w:cs="微软雅黑"/>
                <w:color w:val="000000"/>
                <w:sz w:val="20"/>
                <w:szCs w:val="20"/>
                <w:lang w:val="en-US" w:eastAsia="zh-CN" w:bidi="ar"/>
              </w:rPr>
            </w:pPr>
            <w:r>
              <w:rPr>
                <w:rFonts w:hint="eastAsia" w:ascii="微软雅黑" w:hAnsi="微软雅黑" w:eastAsia="微软雅黑" w:cs="微软雅黑"/>
                <w:color w:val="000000"/>
                <w:sz w:val="20"/>
                <w:szCs w:val="20"/>
                <w:lang w:val="en-US" w:bidi="ar"/>
              </w:rPr>
              <w:t>2、随访内容包括入组评估，门诊复诊提醒，健康宣教，随访问卷，医护随访等多种类型</w:t>
            </w:r>
          </w:p>
          <w:p>
            <w:pPr>
              <w:widowControl/>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bidi="ar"/>
              </w:rPr>
              <w:t>3、系统支持设置每个随访计划的开始时间，随访时效，触发指标和停止指标。</w:t>
            </w:r>
          </w:p>
        </w:tc>
      </w:tr>
      <w:tr>
        <w:tblPrEx>
          <w:tblCellMar>
            <w:top w:w="0" w:type="dxa"/>
            <w:left w:w="108" w:type="dxa"/>
            <w:bottom w:w="0" w:type="dxa"/>
            <w:right w:w="108" w:type="dxa"/>
          </w:tblCellMar>
        </w:tblPrEx>
        <w:trPr>
          <w:trHeight w:val="772"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0"/>
                <w:szCs w:val="20"/>
              </w:rPr>
            </w:pPr>
            <w:r>
              <w:rPr>
                <w:rFonts w:hint="eastAsia"/>
                <w:b/>
                <w:bCs/>
                <w:color w:val="000000"/>
                <w:sz w:val="20"/>
                <w:szCs w:val="20"/>
                <w:lang w:val="en-US" w:bidi="ar"/>
              </w:rPr>
              <w:t>28</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b/>
                <w:bCs/>
                <w:color w:val="000000"/>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
                <w:bCs/>
                <w:color w:val="000000"/>
                <w:sz w:val="20"/>
                <w:szCs w:val="20"/>
              </w:rPr>
            </w:pPr>
            <w:r>
              <w:rPr>
                <w:rFonts w:hint="eastAsia"/>
                <w:b/>
                <w:bCs/>
                <w:color w:val="000000"/>
                <w:sz w:val="20"/>
                <w:szCs w:val="20"/>
                <w:lang w:val="en-US" w:bidi="ar"/>
              </w:rPr>
              <w:t>入组管理</w:t>
            </w:r>
          </w:p>
        </w:tc>
        <w:tc>
          <w:tcPr>
            <w:tcW w:w="6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bidi="ar"/>
              </w:rPr>
              <w:t>实现医生在桌面端对患者提交的专科入组申请进行查询，并支持在线审核。系统将在审核完成后将审核结果推送给患者。</w:t>
            </w:r>
          </w:p>
        </w:tc>
      </w:tr>
      <w:tr>
        <w:tblPrEx>
          <w:tblCellMar>
            <w:top w:w="0" w:type="dxa"/>
            <w:left w:w="108" w:type="dxa"/>
            <w:bottom w:w="0" w:type="dxa"/>
            <w:right w:w="108" w:type="dxa"/>
          </w:tblCellMar>
        </w:tblPrEx>
        <w:trPr>
          <w:trHeight w:val="19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0"/>
                <w:szCs w:val="20"/>
              </w:rPr>
            </w:pPr>
            <w:r>
              <w:rPr>
                <w:rFonts w:hint="eastAsia"/>
                <w:b/>
                <w:bCs/>
                <w:color w:val="000000"/>
                <w:sz w:val="20"/>
                <w:szCs w:val="20"/>
                <w:lang w:val="en-US" w:bidi="ar"/>
              </w:rPr>
              <w:t>29</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b/>
                <w:bCs/>
                <w:color w:val="000000"/>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
                <w:bCs/>
                <w:color w:val="000000"/>
                <w:sz w:val="20"/>
                <w:szCs w:val="20"/>
              </w:rPr>
            </w:pPr>
            <w:r>
              <w:rPr>
                <w:rFonts w:hint="eastAsia"/>
                <w:b/>
                <w:bCs/>
                <w:color w:val="000000"/>
                <w:sz w:val="20"/>
                <w:szCs w:val="20"/>
                <w:lang w:val="en-US" w:bidi="ar"/>
              </w:rPr>
              <w:t>随访任务</w:t>
            </w:r>
          </w:p>
        </w:tc>
        <w:tc>
          <w:tcPr>
            <w:tcW w:w="6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bidi="ar"/>
              </w:rPr>
              <w:t>系统按照随访计划自动提醒相关随访责任人与患者</w:t>
            </w:r>
          </w:p>
        </w:tc>
      </w:tr>
      <w:tr>
        <w:tblPrEx>
          <w:tblCellMar>
            <w:top w:w="0" w:type="dxa"/>
            <w:left w:w="108" w:type="dxa"/>
            <w:bottom w:w="0" w:type="dxa"/>
            <w:right w:w="108" w:type="dxa"/>
          </w:tblCellMar>
        </w:tblPrEx>
        <w:trPr>
          <w:trHeight w:val="213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0"/>
                <w:szCs w:val="20"/>
              </w:rPr>
            </w:pPr>
            <w:r>
              <w:rPr>
                <w:rFonts w:hint="eastAsia"/>
                <w:b/>
                <w:bCs/>
                <w:color w:val="000000"/>
                <w:sz w:val="20"/>
                <w:szCs w:val="20"/>
                <w:lang w:val="en-US" w:bidi="ar"/>
              </w:rPr>
              <w:t>30</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b/>
                <w:bCs/>
                <w:color w:val="000000"/>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
                <w:bCs/>
                <w:color w:val="000000"/>
                <w:sz w:val="20"/>
                <w:szCs w:val="20"/>
              </w:rPr>
            </w:pPr>
            <w:r>
              <w:rPr>
                <w:rFonts w:hint="eastAsia"/>
                <w:b/>
                <w:bCs/>
                <w:color w:val="000000"/>
                <w:sz w:val="20"/>
                <w:szCs w:val="20"/>
                <w:lang w:val="en-US" w:bidi="ar"/>
              </w:rPr>
              <w:t>随访计划</w:t>
            </w:r>
          </w:p>
        </w:tc>
        <w:tc>
          <w:tcPr>
            <w:tcW w:w="6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微软雅黑" w:hAnsi="微软雅黑" w:eastAsia="微软雅黑" w:cs="微软雅黑"/>
                <w:color w:val="000000"/>
                <w:sz w:val="20"/>
                <w:szCs w:val="20"/>
                <w:lang w:val="en-US" w:eastAsia="zh-CN" w:bidi="ar"/>
              </w:rPr>
            </w:pPr>
            <w:r>
              <w:rPr>
                <w:rFonts w:hint="eastAsia" w:ascii="微软雅黑" w:hAnsi="微软雅黑" w:eastAsia="微软雅黑" w:cs="微软雅黑"/>
                <w:color w:val="000000"/>
                <w:sz w:val="20"/>
                <w:szCs w:val="20"/>
                <w:lang w:val="en-US" w:bidi="ar"/>
              </w:rPr>
              <w:t>1、实现医护人员查看个人每日随访计划（任务）记录，支持按病种，随访日期，随访类型，患者，随访结果等条件进行搜索筛选</w:t>
            </w:r>
          </w:p>
          <w:p>
            <w:pPr>
              <w:widowControl/>
              <w:textAlignment w:val="center"/>
              <w:rPr>
                <w:rFonts w:hint="eastAsia" w:ascii="微软雅黑" w:hAnsi="微软雅黑" w:eastAsia="微软雅黑" w:cs="微软雅黑"/>
                <w:color w:val="000000"/>
                <w:sz w:val="20"/>
                <w:szCs w:val="20"/>
                <w:lang w:val="en-US" w:eastAsia="zh-CN" w:bidi="ar"/>
              </w:rPr>
            </w:pPr>
            <w:r>
              <w:rPr>
                <w:rFonts w:hint="eastAsia" w:ascii="微软雅黑" w:hAnsi="微软雅黑" w:eastAsia="微软雅黑" w:cs="微软雅黑"/>
                <w:color w:val="000000"/>
                <w:sz w:val="20"/>
                <w:szCs w:val="20"/>
                <w:lang w:val="en-US" w:bidi="ar"/>
              </w:rPr>
              <w:t>2、实现医护人员查看随访任务详情，包括患者基本信息，患者院内就诊记录，历史随访记录，本次随访内容</w:t>
            </w:r>
          </w:p>
          <w:p>
            <w:pPr>
              <w:widowControl/>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bidi="ar"/>
              </w:rPr>
              <w:t>3、实现医护人员通过IM即时聊天、视频通话对患者进行随访，并填写随访表单</w:t>
            </w:r>
          </w:p>
        </w:tc>
      </w:tr>
      <w:tr>
        <w:tblPrEx>
          <w:tblCellMar>
            <w:top w:w="0" w:type="dxa"/>
            <w:left w:w="108" w:type="dxa"/>
            <w:bottom w:w="0" w:type="dxa"/>
            <w:right w:w="108" w:type="dxa"/>
          </w:tblCellMar>
        </w:tblPrEx>
        <w:trPr>
          <w:trHeight w:val="3189"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0"/>
                <w:szCs w:val="20"/>
              </w:rPr>
            </w:pPr>
            <w:r>
              <w:rPr>
                <w:rFonts w:hint="eastAsia"/>
                <w:b/>
                <w:bCs/>
                <w:color w:val="000000"/>
                <w:sz w:val="20"/>
                <w:szCs w:val="20"/>
                <w:lang w:val="en-US" w:bidi="ar"/>
              </w:rPr>
              <w:t>31</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b/>
                <w:bCs/>
                <w:color w:val="000000"/>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
                <w:bCs/>
                <w:color w:val="000000"/>
                <w:sz w:val="20"/>
                <w:szCs w:val="20"/>
              </w:rPr>
            </w:pPr>
            <w:r>
              <w:rPr>
                <w:rFonts w:hint="eastAsia"/>
                <w:b/>
                <w:bCs/>
                <w:color w:val="000000"/>
                <w:sz w:val="20"/>
                <w:szCs w:val="20"/>
                <w:lang w:val="en-US" w:bidi="ar"/>
              </w:rPr>
              <w:t>患者管理</w:t>
            </w:r>
          </w:p>
        </w:tc>
        <w:tc>
          <w:tcPr>
            <w:tcW w:w="6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微软雅黑" w:hAnsi="微软雅黑" w:eastAsia="微软雅黑" w:cs="微软雅黑"/>
                <w:color w:val="000000"/>
                <w:sz w:val="20"/>
                <w:szCs w:val="20"/>
                <w:lang w:val="en-US" w:eastAsia="zh-CN" w:bidi="ar"/>
              </w:rPr>
            </w:pPr>
            <w:r>
              <w:rPr>
                <w:rFonts w:hint="eastAsia" w:ascii="微软雅黑" w:hAnsi="微软雅黑" w:eastAsia="微软雅黑" w:cs="微软雅黑"/>
                <w:color w:val="000000"/>
                <w:sz w:val="20"/>
                <w:szCs w:val="20"/>
                <w:lang w:val="en-US" w:bidi="ar"/>
              </w:rPr>
              <w:t>1、实现医护人员在桌面端查看自己以及自己所在团队所管辖的专科随访患者，支持以视图形式查看患者在入组期间的门急诊、住院、随访记录，以及关键的手术、用药记录以及预后的关键检验检查结果变化趋势。</w:t>
            </w:r>
          </w:p>
          <w:p>
            <w:pPr>
              <w:widowControl/>
              <w:textAlignment w:val="center"/>
              <w:rPr>
                <w:rFonts w:hint="eastAsia" w:ascii="微软雅黑" w:hAnsi="微软雅黑" w:eastAsia="微软雅黑" w:cs="微软雅黑"/>
                <w:color w:val="000000"/>
                <w:sz w:val="20"/>
                <w:szCs w:val="20"/>
                <w:lang w:val="en-US" w:eastAsia="zh-CN" w:bidi="ar"/>
              </w:rPr>
            </w:pPr>
            <w:r>
              <w:rPr>
                <w:rFonts w:hint="eastAsia" w:ascii="微软雅黑" w:hAnsi="微软雅黑" w:eastAsia="微软雅黑" w:cs="微软雅黑"/>
                <w:color w:val="000000"/>
                <w:sz w:val="20"/>
                <w:szCs w:val="20"/>
                <w:lang w:val="en-US" w:bidi="ar"/>
              </w:rPr>
              <w:t>2、支持查询患者的院内就诊记录（门急诊、住院记录相关的病历，处方，检验检查记录等），患者历史随访记录，未来的随访计划以及个人档案信息。</w:t>
            </w:r>
          </w:p>
          <w:p>
            <w:pPr>
              <w:widowControl/>
              <w:textAlignment w:val="center"/>
              <w:rPr>
                <w:rFonts w:hint="eastAsia" w:ascii="微软雅黑" w:hAnsi="微软雅黑" w:eastAsia="微软雅黑" w:cs="微软雅黑"/>
                <w:color w:val="000000"/>
                <w:sz w:val="20"/>
                <w:szCs w:val="20"/>
                <w:lang w:val="en-US" w:eastAsia="zh-CN" w:bidi="ar"/>
              </w:rPr>
            </w:pPr>
            <w:r>
              <w:rPr>
                <w:rFonts w:hint="eastAsia" w:ascii="微软雅黑" w:hAnsi="微软雅黑" w:eastAsia="微软雅黑" w:cs="微软雅黑"/>
                <w:color w:val="000000"/>
                <w:sz w:val="20"/>
                <w:szCs w:val="20"/>
                <w:lang w:val="en-US" w:bidi="ar"/>
              </w:rPr>
              <w:t>3、支持对患者进行主管医师、团队变更、出组等操作</w:t>
            </w:r>
          </w:p>
          <w:p>
            <w:pPr>
              <w:widowControl/>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bidi="ar"/>
              </w:rPr>
              <w:t>4、支持通过电话、图文聊天等方式与患者进行沟通</w:t>
            </w:r>
          </w:p>
        </w:tc>
      </w:tr>
      <w:tr>
        <w:tblPrEx>
          <w:tblCellMar>
            <w:top w:w="0" w:type="dxa"/>
            <w:left w:w="108" w:type="dxa"/>
            <w:bottom w:w="0" w:type="dxa"/>
            <w:right w:w="108" w:type="dxa"/>
          </w:tblCellMar>
        </w:tblPrEx>
        <w:trPr>
          <w:trHeight w:val="51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0"/>
                <w:szCs w:val="20"/>
              </w:rPr>
            </w:pPr>
            <w:r>
              <w:rPr>
                <w:rFonts w:hint="eastAsia"/>
                <w:b/>
                <w:bCs/>
                <w:color w:val="000000"/>
                <w:sz w:val="20"/>
                <w:szCs w:val="20"/>
                <w:lang w:val="en-US" w:bidi="ar"/>
              </w:rPr>
              <w:t>32</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b/>
                <w:bCs/>
                <w:color w:val="000000"/>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
                <w:bCs/>
                <w:color w:val="000000"/>
                <w:sz w:val="20"/>
                <w:szCs w:val="20"/>
              </w:rPr>
            </w:pPr>
            <w:r>
              <w:rPr>
                <w:rFonts w:hint="eastAsia"/>
                <w:b/>
                <w:bCs/>
                <w:color w:val="000000"/>
                <w:sz w:val="20"/>
                <w:szCs w:val="20"/>
                <w:lang w:val="en-US" w:bidi="ar"/>
              </w:rPr>
              <w:t>统计分析</w:t>
            </w:r>
          </w:p>
        </w:tc>
        <w:tc>
          <w:tcPr>
            <w:tcW w:w="6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bidi="ar"/>
              </w:rPr>
              <w:t>统计专病管理相关业务数据。</w:t>
            </w:r>
          </w:p>
        </w:tc>
      </w:tr>
      <w:tr>
        <w:tblPrEx>
          <w:tblCellMar>
            <w:top w:w="0" w:type="dxa"/>
            <w:left w:w="108" w:type="dxa"/>
            <w:bottom w:w="0" w:type="dxa"/>
            <w:right w:w="108" w:type="dxa"/>
          </w:tblCellMar>
        </w:tblPrEx>
        <w:trPr>
          <w:trHeight w:val="51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0"/>
                <w:szCs w:val="20"/>
                <w:lang w:val="en-US" w:bidi="ar"/>
              </w:rPr>
            </w:pPr>
            <w:r>
              <w:rPr>
                <w:rFonts w:hint="eastAsia"/>
                <w:b/>
                <w:bCs/>
                <w:color w:val="000000"/>
                <w:sz w:val="20"/>
                <w:szCs w:val="20"/>
                <w:lang w:val="en-US" w:bidi="ar"/>
              </w:rPr>
              <w:t>3</w:t>
            </w:r>
            <w:r>
              <w:rPr>
                <w:b/>
                <w:bCs/>
                <w:color w:val="000000"/>
                <w:sz w:val="20"/>
                <w:szCs w:val="20"/>
                <w:lang w:val="en-US" w:bidi="ar"/>
              </w:rPr>
              <w:t>3</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r>
              <w:rPr>
                <w:rFonts w:hint="eastAsia"/>
                <w:b/>
                <w:bCs/>
                <w:color w:val="000000"/>
                <w:sz w:val="20"/>
                <w:szCs w:val="20"/>
              </w:rPr>
              <w:t>安全要求</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b/>
                <w:bCs/>
                <w:color w:val="000000"/>
                <w:sz w:val="20"/>
                <w:szCs w:val="20"/>
              </w:rPr>
            </w:pPr>
            <w:r>
              <w:rPr>
                <w:rFonts w:hint="eastAsia"/>
                <w:b/>
                <w:bCs/>
                <w:color w:val="000000"/>
                <w:sz w:val="20"/>
                <w:szCs w:val="20"/>
              </w:rPr>
              <w:t>认证服务</w:t>
            </w:r>
          </w:p>
        </w:tc>
        <w:tc>
          <w:tcPr>
            <w:tcW w:w="1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
                <w:bCs/>
                <w:color w:val="000000"/>
                <w:sz w:val="20"/>
                <w:szCs w:val="20"/>
                <w:lang w:val="en-US" w:bidi="ar"/>
              </w:rPr>
            </w:pPr>
            <w:r>
              <w:rPr>
                <w:rFonts w:hint="eastAsia"/>
                <w:b/>
                <w:bCs/>
                <w:color w:val="000000"/>
                <w:sz w:val="20"/>
                <w:szCs w:val="20"/>
                <w:lang w:val="en-US" w:bidi="ar"/>
              </w:rPr>
              <w:t>电子签名认证</w:t>
            </w:r>
          </w:p>
        </w:tc>
        <w:tc>
          <w:tcPr>
            <w:tcW w:w="6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微软雅黑" w:hAnsi="微软雅黑" w:eastAsia="微软雅黑" w:cs="微软雅黑"/>
                <w:color w:val="000000"/>
                <w:sz w:val="20"/>
                <w:szCs w:val="20"/>
                <w:lang w:val="en-US" w:bidi="ar"/>
              </w:rPr>
            </w:pPr>
            <w:r>
              <w:rPr>
                <w:rFonts w:hint="eastAsia" w:ascii="微软雅黑" w:hAnsi="微软雅黑" w:eastAsia="微软雅黑" w:cs="微软雅黑"/>
                <w:color w:val="000000"/>
                <w:sz w:val="20"/>
                <w:szCs w:val="20"/>
                <w:lang w:val="en-US" w:bidi="ar"/>
              </w:rPr>
              <w:t>本院使用互联网医院系统的医务人员电子签名认证</w:t>
            </w:r>
          </w:p>
        </w:tc>
      </w:tr>
      <w:tr>
        <w:tblPrEx>
          <w:tblCellMar>
            <w:top w:w="0" w:type="dxa"/>
            <w:left w:w="108" w:type="dxa"/>
            <w:bottom w:w="0" w:type="dxa"/>
            <w:right w:w="108" w:type="dxa"/>
          </w:tblCellMar>
        </w:tblPrEx>
        <w:trPr>
          <w:trHeight w:val="329" w:hRule="atLeast"/>
        </w:trPr>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bidi="ar"/>
              </w:rPr>
              <w:t>3</w:t>
            </w:r>
            <w:r>
              <w:rPr>
                <w:b/>
                <w:bCs/>
                <w:color w:val="000000"/>
                <w:sz w:val="20"/>
                <w:szCs w:val="20"/>
                <w:lang w:val="en-US" w:bidi="ar"/>
              </w:rPr>
              <w:t>3</w:t>
            </w: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b/>
                <w:bCs/>
                <w:color w:val="000000"/>
                <w:sz w:val="20"/>
                <w:szCs w:val="20"/>
                <w:lang w:val="en-US" w:eastAsia="zh-CN" w:bidi="ar"/>
              </w:rPr>
            </w:pPr>
            <w:r>
              <w:rPr>
                <w:rFonts w:hint="eastAsia"/>
                <w:b/>
                <w:bCs/>
                <w:color w:val="000000"/>
                <w:sz w:val="20"/>
                <w:szCs w:val="20"/>
                <w:lang w:val="en-US" w:bidi="ar"/>
              </w:rPr>
              <w:t>普通云诊室</w:t>
            </w:r>
          </w:p>
          <w:p>
            <w:pPr>
              <w:widowControl/>
              <w:jc w:val="center"/>
              <w:textAlignment w:val="center"/>
              <w:rPr>
                <w:b/>
                <w:bCs/>
                <w:color w:val="000000"/>
                <w:sz w:val="20"/>
                <w:szCs w:val="20"/>
              </w:rPr>
            </w:pPr>
            <w:r>
              <w:rPr>
                <w:rFonts w:hint="eastAsia"/>
                <w:b/>
                <w:bCs/>
                <w:color w:val="000000"/>
                <w:sz w:val="20"/>
                <w:szCs w:val="20"/>
                <w:lang w:val="en-US" w:bidi="ar"/>
              </w:rPr>
              <w:t>(5套)</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bCs/>
                <w:color w:val="000000"/>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bidi="ar"/>
              </w:rPr>
              <w:t>摄像头</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微软雅黑"/>
                <w:color w:val="000000"/>
                <w:sz w:val="20"/>
                <w:szCs w:val="20"/>
                <w:lang w:val="en-US" w:bidi="ar"/>
              </w:rPr>
            </w:pPr>
            <w:r>
              <w:rPr>
                <w:rFonts w:hint="eastAsia"/>
                <w:color w:val="000000"/>
                <w:sz w:val="21"/>
                <w:szCs w:val="21"/>
                <w:lang w:val="en-US" w:eastAsia="zh-CN" w:bidi="ar"/>
              </w:rPr>
              <w:t>不低于</w:t>
            </w:r>
            <w:r>
              <w:rPr>
                <w:rFonts w:hint="eastAsia"/>
                <w:color w:val="000000"/>
                <w:sz w:val="21"/>
                <w:szCs w:val="21"/>
                <w:lang w:val="en-US" w:bidi="ar"/>
              </w:rPr>
              <w:t>400万高清USB电脑摄像头</w:t>
            </w:r>
          </w:p>
        </w:tc>
      </w:tr>
      <w:tr>
        <w:tblPrEx>
          <w:tblCellMar>
            <w:top w:w="0" w:type="dxa"/>
            <w:left w:w="108" w:type="dxa"/>
            <w:bottom w:w="0" w:type="dxa"/>
            <w:right w:w="108" w:type="dxa"/>
          </w:tblCellMar>
        </w:tblPrEx>
        <w:trPr>
          <w:trHeight w:val="329"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bCs/>
                <w:color w:val="000000"/>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bidi="ar"/>
              </w:rPr>
              <w:t>耳麦</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微软雅黑"/>
                <w:color w:val="000000"/>
                <w:sz w:val="20"/>
                <w:szCs w:val="20"/>
                <w:lang w:val="en-US" w:bidi="ar"/>
              </w:rPr>
            </w:pPr>
            <w:r>
              <w:rPr>
                <w:rFonts w:hint="eastAsia"/>
                <w:color w:val="000000"/>
                <w:sz w:val="21"/>
                <w:szCs w:val="21"/>
                <w:lang w:val="en-US" w:eastAsia="zh-CN"/>
              </w:rPr>
              <w:t>1对</w:t>
            </w:r>
          </w:p>
        </w:tc>
      </w:tr>
      <w:tr>
        <w:tblPrEx>
          <w:tblCellMar>
            <w:top w:w="0" w:type="dxa"/>
            <w:left w:w="108" w:type="dxa"/>
            <w:bottom w:w="0" w:type="dxa"/>
            <w:right w:w="108" w:type="dxa"/>
          </w:tblCellMar>
        </w:tblPrEx>
        <w:trPr>
          <w:trHeight w:val="827"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bCs/>
                <w:color w:val="000000"/>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bidi="ar"/>
              </w:rPr>
              <w:t>电脑</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微软雅黑"/>
                <w:color w:val="000000"/>
                <w:sz w:val="20"/>
                <w:szCs w:val="20"/>
                <w:lang w:val="en-US" w:bidi="ar"/>
              </w:rPr>
            </w:pPr>
            <w:r>
              <w:rPr>
                <w:rFonts w:hint="eastAsia"/>
                <w:color w:val="000000"/>
                <w:sz w:val="21"/>
                <w:szCs w:val="21"/>
                <w:lang w:val="en-US" w:bidi="ar"/>
              </w:rPr>
              <w:t>CPU：i5，内存：8G，硬盘：512G，操作系统：win10，显示器：27英寸21:9带鱼屏，电脑默认包含主机键盘，鼠标垫。</w:t>
            </w:r>
            <w:r>
              <w:rPr>
                <w:rFonts w:hint="eastAsia"/>
                <w:color w:val="000000"/>
                <w:sz w:val="21"/>
                <w:szCs w:val="21"/>
                <w:lang w:val="en-US" w:eastAsia="zh-CN" w:bidi="ar"/>
              </w:rPr>
              <w:t>不得低于以上配置。</w:t>
            </w:r>
          </w:p>
        </w:tc>
      </w:tr>
    </w:tbl>
    <w:p>
      <w:pPr>
        <w:pStyle w:val="23"/>
        <w:ind w:left="0" w:leftChars="0" w:firstLine="0" w:firstLineChars="0"/>
        <w:jc w:val="center"/>
        <w:rPr>
          <w:lang w:val="en-US"/>
        </w:rPr>
      </w:pPr>
    </w:p>
    <w:p>
      <w:pPr>
        <w:pStyle w:val="23"/>
        <w:ind w:left="0" w:leftChars="0" w:firstLine="0" w:firstLineChars="0"/>
        <w:jc w:val="center"/>
        <w:rPr>
          <w:lang w:val="en-US"/>
        </w:rPr>
      </w:pPr>
    </w:p>
    <w:p>
      <w:pPr>
        <w:pStyle w:val="4"/>
        <w:numPr>
          <w:ilvl w:val="1"/>
          <w:numId w:val="10"/>
        </w:numPr>
      </w:pPr>
      <w:r>
        <w:rPr>
          <w:rFonts w:hint="eastAsia"/>
        </w:rPr>
        <w:t>商务要求</w:t>
      </w:r>
    </w:p>
    <w:p/>
    <w:p>
      <w:pPr>
        <w:pStyle w:val="23"/>
        <w:numPr>
          <w:ilvl w:val="1"/>
          <w:numId w:val="11"/>
        </w:numPr>
        <w:spacing w:line="360" w:lineRule="auto"/>
        <w:ind w:leftChars="0" w:firstLineChars="0"/>
        <w:rPr>
          <w:color w:val="FF0000"/>
          <w:lang w:val="en-US" w:bidi="ar"/>
        </w:rPr>
      </w:pPr>
      <w:r>
        <w:rPr>
          <w:rFonts w:hint="eastAsia"/>
          <w:b/>
          <w:bCs/>
          <w:color w:val="FF0000"/>
          <w:lang w:val="en-US"/>
        </w:rPr>
        <w:t>等保测评</w:t>
      </w:r>
    </w:p>
    <w:p>
      <w:pPr>
        <w:pStyle w:val="23"/>
        <w:spacing w:line="360" w:lineRule="auto"/>
        <w:ind w:left="360" w:leftChars="0" w:firstLine="347" w:firstLineChars="158"/>
        <w:rPr>
          <w:color w:val="FF0000"/>
          <w:lang w:val="en-US" w:bidi="ar"/>
        </w:rPr>
      </w:pPr>
      <w:r>
        <w:rPr>
          <w:rFonts w:hint="eastAsia"/>
          <w:color w:val="FF0000"/>
          <w:lang w:val="en-US"/>
        </w:rPr>
        <w:t>中标方负责</w:t>
      </w:r>
      <w:r>
        <w:rPr>
          <w:rFonts w:hint="eastAsia"/>
          <w:color w:val="FF0000"/>
          <w:lang w:val="en-US" w:bidi="ar"/>
        </w:rPr>
        <w:t>互联网医院系统三年三级等保测评及整改服务，相应的费用由中标方承担（含基于等保2.0要求的测评费用和三级等保需要的本期软件清单整改服务）。</w:t>
      </w:r>
    </w:p>
    <w:p>
      <w:pPr>
        <w:pStyle w:val="23"/>
        <w:numPr>
          <w:ilvl w:val="1"/>
          <w:numId w:val="11"/>
        </w:numPr>
        <w:spacing w:line="360" w:lineRule="auto"/>
        <w:ind w:leftChars="0" w:firstLineChars="0"/>
        <w:rPr>
          <w:b/>
          <w:bCs/>
          <w:color w:val="FF0000"/>
          <w:lang w:val="en-US"/>
        </w:rPr>
      </w:pPr>
      <w:r>
        <w:rPr>
          <w:rFonts w:hint="eastAsia"/>
          <w:b/>
          <w:bCs/>
          <w:color w:val="FF0000"/>
          <w:lang w:val="en-US"/>
        </w:rPr>
        <w:t>接口对接</w:t>
      </w:r>
    </w:p>
    <w:p>
      <w:pPr>
        <w:pStyle w:val="23"/>
        <w:spacing w:line="360" w:lineRule="auto"/>
        <w:ind w:left="360" w:leftChars="0" w:firstLine="347" w:firstLineChars="158"/>
        <w:rPr>
          <w:color w:val="FF0000"/>
          <w:lang w:val="en-US"/>
        </w:rPr>
      </w:pPr>
      <w:r>
        <w:rPr>
          <w:rFonts w:hint="eastAsia"/>
          <w:color w:val="FF0000"/>
          <w:lang w:val="en-US"/>
        </w:rPr>
        <w:t>中标方负责协调本次项目建设所含系统与his、emr、ris、pacs、体检对接所产生的相应费用由中标方承担。</w:t>
      </w:r>
    </w:p>
    <w:p>
      <w:pPr>
        <w:pStyle w:val="23"/>
        <w:numPr>
          <w:ilvl w:val="1"/>
          <w:numId w:val="11"/>
        </w:numPr>
        <w:spacing w:line="360" w:lineRule="auto"/>
        <w:ind w:leftChars="0" w:firstLineChars="0"/>
        <w:rPr>
          <w:b/>
          <w:bCs/>
          <w:color w:val="FF0000"/>
          <w:lang w:val="en-US"/>
        </w:rPr>
      </w:pPr>
      <w:r>
        <w:rPr>
          <w:rFonts w:hint="eastAsia"/>
          <w:b/>
          <w:bCs/>
          <w:color w:val="FF0000"/>
          <w:lang w:val="en-US"/>
        </w:rPr>
        <w:t>售后服务</w:t>
      </w:r>
    </w:p>
    <w:p>
      <w:pPr>
        <w:pStyle w:val="23"/>
        <w:spacing w:line="360" w:lineRule="auto"/>
        <w:ind w:left="440" w:firstLine="347" w:firstLineChars="158"/>
        <w:rPr>
          <w:color w:val="FF0000"/>
          <w:lang w:val="en-US"/>
        </w:rPr>
      </w:pPr>
      <w:r>
        <w:rPr>
          <w:rFonts w:hint="eastAsia"/>
          <w:color w:val="FF0000"/>
          <w:lang w:val="en-US"/>
        </w:rPr>
        <w:t>投标人应具备与本项目匹配的服务能力，以响应招标人的技术服务要求。</w:t>
      </w:r>
    </w:p>
    <w:p>
      <w:pPr>
        <w:pStyle w:val="23"/>
        <w:spacing w:line="360" w:lineRule="auto"/>
        <w:ind w:left="440" w:firstLine="347" w:firstLineChars="158"/>
        <w:rPr>
          <w:color w:val="FF0000"/>
          <w:lang w:val="en-US"/>
        </w:rPr>
      </w:pPr>
      <w:r>
        <w:rPr>
          <w:rFonts w:hint="eastAsia"/>
          <w:color w:val="FF0000"/>
          <w:lang w:val="en-US"/>
        </w:rPr>
        <w:t>所有信息系统应用软件产品的质保期为签订验收合格书之日起四年。</w:t>
      </w:r>
    </w:p>
    <w:p>
      <w:pPr>
        <w:pStyle w:val="23"/>
        <w:spacing w:line="360" w:lineRule="auto"/>
        <w:ind w:left="440" w:firstLine="347" w:firstLineChars="158"/>
        <w:rPr>
          <w:color w:val="FF0000"/>
          <w:lang w:val="en-US"/>
        </w:rPr>
      </w:pPr>
      <w:r>
        <w:rPr>
          <w:rFonts w:hint="eastAsia"/>
          <w:color w:val="FF0000"/>
          <w:lang w:val="en-US"/>
        </w:rPr>
        <w:t>工程建设期间及质保期均属于免费服务期，该期限内的所有售后服务，包括软件维护所产生的费用均由中标人承担。</w:t>
      </w:r>
    </w:p>
    <w:p>
      <w:pPr>
        <w:pStyle w:val="23"/>
        <w:spacing w:line="360" w:lineRule="auto"/>
        <w:ind w:left="440" w:firstLine="347" w:firstLineChars="158"/>
        <w:rPr>
          <w:color w:val="FF0000"/>
          <w:lang w:val="en-US"/>
        </w:rPr>
      </w:pPr>
      <w:r>
        <w:rPr>
          <w:rFonts w:hint="eastAsia"/>
          <w:color w:val="FF0000"/>
          <w:lang w:val="en-US"/>
        </w:rPr>
        <w:t>响应时间：投标人在投标书中必须明确承诺售后服务响应时间，并不得低于以下标准：提供</w:t>
      </w:r>
      <w:r>
        <w:rPr>
          <w:color w:val="FF0000"/>
          <w:lang w:val="en-US"/>
        </w:rPr>
        <w:t>7×24电话或电子邮件服务，接到业主报修通知2小时内做出明确响应和安排，8小时内做出故障诊断报告。如需现场服务的，具有解决故障能力的工程师应在接到报修通知次日到达现场。</w:t>
      </w:r>
    </w:p>
    <w:p>
      <w:pPr>
        <w:pStyle w:val="23"/>
        <w:spacing w:line="360" w:lineRule="auto"/>
        <w:ind w:left="360" w:leftChars="0" w:firstLine="347" w:firstLineChars="158"/>
        <w:rPr>
          <w:color w:val="FF0000"/>
          <w:lang w:val="en-US"/>
        </w:rPr>
      </w:pPr>
      <w:r>
        <w:rPr>
          <w:rFonts w:hint="eastAsia"/>
          <w:color w:val="FF0000"/>
          <w:lang w:val="en-US"/>
        </w:rPr>
        <w:t>投标人在质保期满后向业主提供如质保期内的售后服务，并经双方协商后收取相应费用。</w:t>
      </w:r>
    </w:p>
    <w:p>
      <w:pPr>
        <w:pStyle w:val="23"/>
        <w:numPr>
          <w:ilvl w:val="1"/>
          <w:numId w:val="11"/>
        </w:numPr>
        <w:spacing w:line="360" w:lineRule="auto"/>
        <w:ind w:leftChars="0" w:firstLineChars="0"/>
        <w:rPr>
          <w:b/>
          <w:bCs/>
          <w:color w:val="FF0000"/>
          <w:lang w:val="en-US"/>
        </w:rPr>
      </w:pPr>
      <w:r>
        <w:rPr>
          <w:rFonts w:hint="eastAsia"/>
          <w:b/>
          <w:bCs/>
          <w:color w:val="FF0000"/>
          <w:lang w:val="en-US"/>
        </w:rPr>
        <w:t>服务指导</w:t>
      </w:r>
    </w:p>
    <w:p>
      <w:pPr>
        <w:pStyle w:val="23"/>
        <w:spacing w:line="360" w:lineRule="auto"/>
        <w:ind w:left="360" w:leftChars="0" w:firstLine="347" w:firstLineChars="158"/>
        <w:rPr>
          <w:color w:val="FF0000"/>
          <w:lang w:val="en-US"/>
        </w:rPr>
      </w:pPr>
      <w:r>
        <w:rPr>
          <w:rFonts w:hint="eastAsia"/>
          <w:color w:val="FF0000"/>
          <w:lang w:val="en-US"/>
        </w:rPr>
        <w:t>本次项目建设含一年互联网医院推广服务指导，服务指导不收取任何费用，系统上线一年后每月互联网医院交易单数不低于1500单。</w:t>
      </w:r>
    </w:p>
    <w:p>
      <w:pPr>
        <w:pStyle w:val="23"/>
        <w:ind w:left="360" w:leftChars="0" w:firstLine="347" w:firstLineChars="158"/>
        <w:rPr>
          <w:lang w:val="en-US"/>
        </w:rPr>
      </w:pPr>
    </w:p>
    <w:sectPr>
      <w:pgSz w:w="11911" w:h="16840"/>
      <w:pgMar w:top="1417" w:right="1020" w:bottom="1417" w:left="1020" w:header="0" w:footer="828"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Neue">
    <w:altName w:val="Segoe Print"/>
    <w:panose1 w:val="00000000000000000000"/>
    <w:charset w:val="00"/>
    <w:family w:val="auto"/>
    <w:pitch w:val="default"/>
    <w:sig w:usb0="00000000" w:usb1="00000000" w:usb2="0000001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微软雅黑 Light">
    <w:panose1 w:val="020B0502040204020203"/>
    <w:charset w:val="86"/>
    <w:family w:val="swiss"/>
    <w:pitch w:val="default"/>
    <w:sig w:usb0="80000287" w:usb1="2ACF0010" w:usb2="00000016" w:usb3="00000000" w:csb0="0004001F" w:csb1="00000000"/>
  </w:font>
  <w:font w:name="方正姚体">
    <w:altName w:val="宋体"/>
    <w:panose1 w:val="02010601030101010101"/>
    <w:charset w:val="86"/>
    <w:family w:val="auto"/>
    <w:pitch w:val="default"/>
    <w:sig w:usb0="00000000" w:usb1="00000000" w:usb2="00000000" w:usb3="00000000" w:csb0="00040000" w:csb1="00000000"/>
  </w:font>
  <w:font w:name="Monotype Corsiva">
    <w:altName w:val="Mongolian Baiti"/>
    <w:panose1 w:val="03010101010201010101"/>
    <w:charset w:val="00"/>
    <w:family w:val="script"/>
    <w:pitch w:val="default"/>
    <w:sig w:usb0="00000000" w:usb1="00000000" w:usb2="00000000" w:usb3="00000000" w:csb0="2000009F" w:csb1="DFD70000"/>
  </w:font>
  <w:font w:name="Mongolian Baiti">
    <w:panose1 w:val="03000500000000000000"/>
    <w:charset w:val="00"/>
    <w:family w:val="auto"/>
    <w:pitch w:val="default"/>
    <w:sig w:usb0="80000023" w:usb1="00000000" w:usb2="00020000" w:usb3="00000000" w:csb0="00000001" w:csb1="00000000"/>
  </w:font>
  <w:font w:name="Bodoni MT">
    <w:altName w:val="Segoe Print"/>
    <w:panose1 w:val="02070603080606020203"/>
    <w:charset w:val="00"/>
    <w:family w:val="roman"/>
    <w:pitch w:val="default"/>
    <w:sig w:usb0="00000000" w:usb1="00000000" w:usb2="00000000" w:usb3="00000000" w:csb0="200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p>
    <w:pPr>
      <w:pStyle w:val="17"/>
    </w:pPr>
  </w:p>
  <w:p>
    <w:pPr>
      <w:pStyle w:val="17"/>
    </w:pPr>
    <w:r>
      <w:rPr>
        <w:rFonts w:eastAsia="方正姚体"/>
        <w:iCs/>
        <w:sz w:val="21"/>
        <w:u w:val="double"/>
        <w:lang w:val="en-US" w:bidi="ar-SA"/>
      </w:rPr>
      <mc:AlternateContent>
        <mc:Choice Requires="wpg">
          <w:drawing>
            <wp:anchor distT="0" distB="0" distL="114300" distR="114300" simplePos="0" relativeHeight="251663360" behindDoc="0" locked="0" layoutInCell="1" allowOverlap="1">
              <wp:simplePos x="0" y="0"/>
              <wp:positionH relativeFrom="column">
                <wp:posOffset>-3634740</wp:posOffset>
              </wp:positionH>
              <wp:positionV relativeFrom="paragraph">
                <wp:posOffset>141558645</wp:posOffset>
              </wp:positionV>
              <wp:extent cx="309880" cy="2803525"/>
              <wp:effectExtent l="4445" t="4445" r="9525" b="0"/>
              <wp:wrapNone/>
              <wp:docPr id="4" name="Group 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09880" cy="2803518"/>
                        <a:chOff x="0" y="0"/>
                        <a:chExt cx="6199" cy="56137"/>
                      </a:xfrm>
                    </wpg:grpSpPr>
                    <wps:wsp>
                      <wps:cNvPr id="6" name="Oval 9"/>
                      <wps:cNvSpPr>
                        <a:spLocks noChangeAspect="1" noChangeArrowheads="1"/>
                      </wps:cNvSpPr>
                      <wps:spPr bwMode="auto">
                        <a:xfrm>
                          <a:off x="0" y="0"/>
                          <a:ext cx="6199" cy="4155"/>
                        </a:xfrm>
                        <a:prstGeom prst="ellipse">
                          <a:avLst/>
                        </a:prstGeom>
                        <a:solidFill>
                          <a:srgbClr val="3366FF"/>
                        </a:solidFill>
                        <a:ln w="9525">
                          <a:solidFill>
                            <a:srgbClr val="3366FF"/>
                          </a:solidFill>
                          <a:round/>
                        </a:ln>
                      </wps:spPr>
                      <wps:bodyPr rot="0" vert="horz" wrap="square" lIns="91440" tIns="45720" rIns="91440" bIns="45720" anchor="t" anchorCtr="0" upright="1">
                        <a:noAutofit/>
                      </wps:bodyPr>
                    </wps:wsp>
                    <wps:wsp>
                      <wps:cNvPr id="7" name="未知"/>
                      <wps:cNvSpPr>
                        <a:spLocks noChangeAspect="1"/>
                      </wps:cNvSpPr>
                      <wps:spPr bwMode="auto">
                        <a:xfrm>
                          <a:off x="1264" y="2464"/>
                          <a:ext cx="1041" cy="1780"/>
                        </a:xfrm>
                        <a:custGeom>
                          <a:avLst/>
                          <a:gdLst>
                            <a:gd name="T0" fmla="*/ 0 w 1400"/>
                            <a:gd name="T1" fmla="*/ 0 h 2480"/>
                            <a:gd name="T2" fmla="*/ 871 w 1400"/>
                            <a:gd name="T3" fmla="*/ 811 h 2480"/>
                            <a:gd name="T4" fmla="*/ 1400 w 1400"/>
                            <a:gd name="T5" fmla="*/ 2480 h 2480"/>
                          </a:gdLst>
                          <a:ahLst/>
                          <a:cxnLst>
                            <a:cxn ang="0">
                              <a:pos x="T0" y="T1"/>
                            </a:cxn>
                            <a:cxn ang="0">
                              <a:pos x="T2" y="T3"/>
                            </a:cxn>
                            <a:cxn ang="0">
                              <a:pos x="T4" y="T5"/>
                            </a:cxn>
                          </a:cxnLst>
                          <a:rect l="0" t="0" r="r" b="b"/>
                          <a:pathLst>
                            <a:path w="1400" h="2480">
                              <a:moveTo>
                                <a:pt x="0" y="0"/>
                              </a:moveTo>
                              <a:cubicBezTo>
                                <a:pt x="340" y="198"/>
                                <a:pt x="638" y="398"/>
                                <a:pt x="871" y="811"/>
                              </a:cubicBezTo>
                              <a:cubicBezTo>
                                <a:pt x="1104" y="1224"/>
                                <a:pt x="1290" y="2132"/>
                                <a:pt x="1400" y="2480"/>
                              </a:cubicBezTo>
                            </a:path>
                          </a:pathLst>
                        </a:custGeom>
                        <a:noFill/>
                        <a:ln w="76200">
                          <a:solidFill>
                            <a:srgbClr val="FFFFFF"/>
                          </a:solidFill>
                          <a:round/>
                        </a:ln>
                      </wps:spPr>
                      <wps:bodyPr rot="0" vert="horz" wrap="square" lIns="91440" tIns="45720" rIns="91440" bIns="45720" anchor="t" anchorCtr="0" upright="1">
                        <a:noAutofit/>
                      </wps:bodyPr>
                    </wps:wsp>
                    <wps:wsp>
                      <wps:cNvPr id="8" name="未知"/>
                      <wps:cNvSpPr>
                        <a:spLocks noChangeAspect="1"/>
                      </wps:cNvSpPr>
                      <wps:spPr bwMode="auto">
                        <a:xfrm>
                          <a:off x="3611" y="2351"/>
                          <a:ext cx="1159" cy="1981"/>
                        </a:xfrm>
                        <a:custGeom>
                          <a:avLst/>
                          <a:gdLst>
                            <a:gd name="T0" fmla="*/ 1560 w 1560"/>
                            <a:gd name="T1" fmla="*/ 0 h 2760"/>
                            <a:gd name="T2" fmla="*/ 620 w 1560"/>
                            <a:gd name="T3" fmla="*/ 1020 h 2760"/>
                            <a:gd name="T4" fmla="*/ 0 w 1560"/>
                            <a:gd name="T5" fmla="*/ 2760 h 2760"/>
                          </a:gdLst>
                          <a:ahLst/>
                          <a:cxnLst>
                            <a:cxn ang="0">
                              <a:pos x="T0" y="T1"/>
                            </a:cxn>
                            <a:cxn ang="0">
                              <a:pos x="T2" y="T3"/>
                            </a:cxn>
                            <a:cxn ang="0">
                              <a:pos x="T4" y="T5"/>
                            </a:cxn>
                          </a:cxnLst>
                          <a:rect l="0" t="0" r="r" b="b"/>
                          <a:pathLst>
                            <a:path w="1560" h="2760">
                              <a:moveTo>
                                <a:pt x="1560" y="0"/>
                              </a:moveTo>
                              <a:cubicBezTo>
                                <a:pt x="1403" y="170"/>
                                <a:pt x="880" y="560"/>
                                <a:pt x="620" y="1020"/>
                              </a:cubicBezTo>
                              <a:cubicBezTo>
                                <a:pt x="360" y="1480"/>
                                <a:pt x="129" y="2397"/>
                                <a:pt x="0" y="2760"/>
                              </a:cubicBezTo>
                            </a:path>
                          </a:pathLst>
                        </a:custGeom>
                        <a:noFill/>
                        <a:ln w="76200">
                          <a:solidFill>
                            <a:srgbClr val="FFFFFF"/>
                          </a:solidFill>
                          <a:round/>
                        </a:ln>
                      </wps:spPr>
                      <wps:bodyPr rot="0" vert="horz" wrap="square" lIns="91440" tIns="45720" rIns="91440" bIns="45720" anchor="t" anchorCtr="0" upright="1">
                        <a:noAutofit/>
                      </wps:bodyPr>
                    </wps:wsp>
                    <wps:wsp>
                      <wps:cNvPr id="9" name="Line 12"/>
                      <wps:cNvCnPr>
                        <a:cxnSpLocks noChangeAspect="1" noChangeShapeType="1"/>
                      </wps:cNvCnPr>
                      <wps:spPr bwMode="auto">
                        <a:xfrm>
                          <a:off x="2983" y="2362"/>
                          <a:ext cx="0" cy="2368"/>
                        </a:xfrm>
                        <a:prstGeom prst="line">
                          <a:avLst/>
                        </a:prstGeom>
                        <a:noFill/>
                        <a:ln w="76200">
                          <a:solidFill>
                            <a:srgbClr val="FFFFFF"/>
                          </a:solidFill>
                          <a:round/>
                        </a:ln>
                      </wps:spPr>
                      <wps:bodyPr/>
                    </wps:wsp>
                    <wps:wsp>
                      <wps:cNvPr id="10" name="WordArt 13"/>
                      <wps:cNvSpPr txBox="1">
                        <a:spLocks noChangeAspect="1" noChangeArrowheads="1" noChangeShapeType="1" noTextEdit="1"/>
                      </wps:cNvSpPr>
                      <wps:spPr bwMode="auto">
                        <a:xfrm>
                          <a:off x="0" y="0"/>
                          <a:ext cx="3658" cy="29982"/>
                        </a:xfrm>
                        <a:prstGeom prst="rect">
                          <a:avLst/>
                        </a:prstGeom>
                      </wps:spPr>
                      <wps:txbx>
                        <w:txbxContent>
                          <w:p>
                            <w:pPr>
                              <w:jc w:val="center"/>
                              <w:rPr>
                                <w:rFonts w:ascii="Monotype Corsiva" w:hAnsi="Monotype Corsiva"/>
                                <w:b/>
                                <w:bCs/>
                                <w:i/>
                                <w:iCs/>
                                <w:color w:val="FFFF99"/>
                                <w:sz w:val="192"/>
                                <w:szCs w:val="192"/>
                                <w14:shadow w14:blurRad="0" w14:dist="17907" w14:dir="13500000" w14:sx="100000" w14:sy="100000" w14:kx="0" w14:ky="0" w14:algn="ctr">
                                  <w14:srgbClr w14:val="000000">
                                    <w14:shade w14:val="60000"/>
                                  </w14:srgbClr>
                                </w14:shadow>
                                <w14:textOutline w14:w="9525" w14:cap="flat" w14:cmpd="sng" w14:algn="ctr">
                                  <w14:solidFill>
                                    <w14:srgbClr w14:val="000000"/>
                                  </w14:solidFill>
                                  <w14:prstDash w14:val="solid"/>
                                  <w14:round/>
                                </w14:textOutline>
                              </w:rPr>
                            </w:pPr>
                          </w:p>
                        </w:txbxContent>
                      </wps:txbx>
                      <wps:bodyPr wrap="square" numCol="1" fromWordArt="1">
                        <a:prstTxWarp prst="textPlain">
                          <a:avLst>
                            <a:gd name="adj" fmla="val 50000"/>
                          </a:avLst>
                        </a:prstTxWarp>
                        <a:spAutoFit/>
                      </wps:bodyPr>
                    </wps:wsp>
                    <wps:wsp>
                      <wps:cNvPr id="11" name="WordArt 14"/>
                      <wps:cNvSpPr txBox="1">
                        <a:spLocks noChangeAspect="1" noChangeArrowheads="1" noChangeShapeType="1" noTextEdit="1"/>
                      </wps:cNvSpPr>
                      <wps:spPr bwMode="auto">
                        <a:xfrm>
                          <a:off x="0" y="0"/>
                          <a:ext cx="3658" cy="56137"/>
                        </a:xfrm>
                        <a:prstGeom prst="rect">
                          <a:avLst/>
                        </a:prstGeom>
                      </wps:spPr>
                      <wps:txbx>
                        <w:txbxContent>
                          <w:p>
                            <w:pPr>
                              <w:jc w:val="center"/>
                              <w:rPr>
                                <w:rFonts w:ascii="Bodoni MT" w:hAnsi="Bodoni MT"/>
                                <w:b/>
                                <w:bCs/>
                                <w:i/>
                                <w:iCs/>
                                <w:color w:val="FFFF99"/>
                                <w:sz w:val="120"/>
                                <w:szCs w:val="120"/>
                                <w14:shadow w14:blurRad="0" w14:dist="17907" w14:dir="13500000" w14:sx="100000" w14:sy="100000" w14:kx="0" w14:ky="0" w14:algn="ctr">
                                  <w14:srgbClr w14:val="000000">
                                    <w14:shade w14:val="60000"/>
                                  </w14:srgbClr>
                                </w14:shadow>
                                <w14:textOutline w14:w="9525" w14:cap="flat" w14:cmpd="sng" w14:algn="ctr">
                                  <w14:solidFill>
                                    <w14:srgbClr w14:val="000000"/>
                                  </w14:solidFill>
                                  <w14:prstDash w14:val="solid"/>
                                  <w14:round/>
                                </w14:textOutline>
                              </w:rPr>
                            </w:pPr>
                            <w:r>
                              <w:rPr>
                                <w:rFonts w:ascii="Bodoni MT" w:hAnsi="Bodoni MT"/>
                                <w:b/>
                                <w:bCs/>
                                <w:i/>
                                <w:iCs/>
                                <w:color w:val="FFFF99"/>
                                <w:sz w:val="120"/>
                                <w:szCs w:val="120"/>
                                <w14:shadow w14:blurRad="0" w14:dist="17907" w14:dir="13500000" w14:sx="100000" w14:sy="100000" w14:kx="0" w14:ky="0" w14:algn="ctr">
                                  <w14:srgbClr w14:val="000000">
                                    <w14:shade w14:val="60000"/>
                                  </w14:srgbClr>
                                </w14:shadow>
                                <w14:textOutline w14:w="9525" w14:cap="flat" w14:cmpd="sng" w14:algn="ctr">
                                  <w14:solidFill>
                                    <w14:srgbClr w14:val="000000"/>
                                  </w14:solidFill>
                                  <w14:prstDash w14:val="solid"/>
                                  <w14:round/>
                                </w14:textOutline>
                              </w:rPr>
                              <w:t>Gz</w:t>
                            </w:r>
                          </w:p>
                        </w:txbxContent>
                      </wps:txbx>
                      <wps:bodyPr wrap="square" numCol="1" fromWordArt="1">
                        <a:prstTxWarp prst="textPlain">
                          <a:avLst>
                            <a:gd name="adj" fmla="val 50000"/>
                          </a:avLst>
                        </a:prstTxWarp>
                        <a:spAutoFit/>
                      </wps:bodyPr>
                    </wps:wsp>
                  </wpg:wgp>
                </a:graphicData>
              </a:graphic>
            </wp:anchor>
          </w:drawing>
        </mc:Choice>
        <mc:Fallback>
          <w:pict>
            <v:group id="Group 8" o:spid="_x0000_s1026" o:spt="203" style="position:absolute;left:0pt;margin-left:-286.2pt;margin-top:11146.35pt;height:220.75pt;width:24.4pt;z-index:251663360;mso-width-relative:page;mso-height-relative:page;" coordsize="6199,56137" o:gfxdata="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">
              <o:lock v:ext="edit" aspectratio="t"/>
              <v:shape id="Oval 9" o:spid="_x0000_s1026" o:spt="3" type="#_x0000_t3" style="position:absolute;left:0;top:0;height:4155;width:6199;" fillcolor="#3366FF" filled="t" stroked="t" coordsize="21600,21600" o:gfxdata="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H3D68AAAA&#10;2gAAAA8AAAAAAAAAAQAgAAAAIgAAAGRycy9kb3ducmV2LnhtbFBLAQIUABQAAAAIAIdO4kAzLwWe&#10;OwAAADkAAAAQAAAAAAAAAAEAIAAAAAsBAABkcnMvc2hhcGV4bWwueG1sUEsFBgAAAAAGAAYAWwEA&#10;ALUDAAAAAA==&#10;">
                <v:fill on="t" focussize="0,0"/>
                <v:stroke color="#3366FF" joinstyle="round"/>
                <v:imagedata o:title=""/>
                <o:lock v:ext="edit" aspectratio="t"/>
              </v:shape>
              <v:shape id="未知" o:spid="_x0000_s1026" o:spt="100" style="position:absolute;left:1264;top:2464;height:1780;width:1041;" filled="f" stroked="t" coordsize="1400,2480" o:gfxdata="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GqwQu5AAAA2gAA&#10;AA8AAAAAAAAAAQAgAAAAIgAAAGRycy9kb3ducmV2LnhtbFBLAQIUABQAAAAIAIdO4kAzLwWeOwAA&#10;ADkAAAAQAAAAAAAAAAEAIAAAAAgBAABkcnMvc2hhcGV4bWwueG1sUEsFBgAAAAAGAAYAWwEAALID&#10;AAAAAA==&#10;" path="m0,0c340,198,638,398,871,811c1104,1224,1290,2132,1400,2480e">
                <v:path o:connectlocs="0,0;647,582;1041,1780" o:connectangles="0,0,0"/>
                <v:fill on="f" focussize="0,0"/>
                <v:stroke weight="6pt" color="#FFFFFF" joinstyle="round"/>
                <v:imagedata o:title=""/>
                <o:lock v:ext="edit" aspectratio="t"/>
              </v:shape>
              <v:shape id="未知" o:spid="_x0000_s1026" o:spt="100" style="position:absolute;left:3611;top:2351;height:1981;width:1159;" filled="f" stroked="t" coordsize="1560,2760" o:gfxdata="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7EYUbgAAADaAAAA&#10;DwAAAAAAAAABACAAAAAiAAAAZHJzL2Rvd25yZXYueG1sUEsBAhQAFAAAAAgAh07iQDMvBZ47AAAA&#10;OQAAABAAAAAAAAAAAQAgAAAABwEAAGRycy9zaGFwZXhtbC54bWxQSwUGAAAAAAYABgBbAQAAsQMA&#10;AAAA&#10;" path="m1560,0c1403,170,880,560,620,1020c360,1480,129,2397,0,2760e">
                <v:path o:connectlocs="1159,0;460,732;0,1981" o:connectangles="0,0,0"/>
                <v:fill on="f" focussize="0,0"/>
                <v:stroke weight="6pt" color="#FFFFFF" joinstyle="round"/>
                <v:imagedata o:title=""/>
                <o:lock v:ext="edit" aspectratio="t"/>
              </v:shape>
              <v:line id="Line 12" o:spid="_x0000_s1026" o:spt="20" style="position:absolute;left:2983;top:2362;height:2368;width:0;" filled="f" stroked="t" coordsize="21600,21600" o:gfxdata="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iLW68AAAA&#10;2gAAAA8AAAAAAAAAAQAgAAAAIgAAAGRycy9kb3ducmV2LnhtbFBLAQIUABQAAAAIAIdO4kAzLwWe&#10;OwAAADkAAAAQAAAAAAAAAAEAIAAAAAsBAABkcnMvc2hhcGV4bWwueG1sUEsFBgAAAAAGAAYAWwEA&#10;ALUDAAAAAA==&#10;">
                <v:fill on="f" focussize="0,0"/>
                <v:stroke weight="6pt" color="#FFFFFF" joinstyle="round"/>
                <v:imagedata o:title=""/>
                <o:lock v:ext="edit" aspectratio="t"/>
              </v:line>
              <v:shape id="WordArt 13" o:spid="_x0000_s1026" o:spt="202" type="#_x0000_t202" style="position:absolute;left:0;top:0;height:29982;width:3658;" filled="f" stroked="f" coordsize="21600,21600" o:gfxdata="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yFL68AAAA&#10;2wAAAA8AAAAAAAAAAQAgAAAAIgAAAGRycy9kb3ducmV2LnhtbFBLAQIUABQAAAAIAIdO4kAzLwWe&#10;OwAAADkAAAAQAAAAAAAAAAEAIAAAAAsBAABkcnMvc2hhcGV4bWwueG1sUEsFBgAAAAAGAAYAWwEA&#10;ALUDAAAAAA==&#10;" adj="10800">
                <v:fill on="f" focussize="0,0"/>
                <v:stroke on="f"/>
                <v:imagedata o:title=""/>
                <o:lock v:ext="edit" text="t" aspectratio="t"/>
                <v:textbox style="mso-fit-shape-to-text:t;">
                  <w:txbxContent>
                    <w:p>
                      <w:pPr>
                        <w:jc w:val="center"/>
                        <w:rPr>
                          <w:rFonts w:ascii="Monotype Corsiva" w:hAnsi="Monotype Corsiva"/>
                          <w:b/>
                          <w:bCs/>
                          <w:i/>
                          <w:iCs/>
                          <w:color w:val="FFFF99"/>
                          <w:sz w:val="192"/>
                          <w:szCs w:val="192"/>
                          <w14:shadow w14:blurRad="0" w14:dist="17907" w14:dir="13500000" w14:sx="100000" w14:sy="100000" w14:kx="0" w14:ky="0" w14:algn="ctr">
                            <w14:srgbClr w14:val="000000">
                              <w14:shade w14:val="60000"/>
                            </w14:srgbClr>
                          </w14:shadow>
                          <w14:textOutline w14:w="9525" w14:cap="flat" w14:cmpd="sng" w14:algn="ctr">
                            <w14:solidFill>
                              <w14:srgbClr w14:val="000000"/>
                            </w14:solidFill>
                            <w14:prstDash w14:val="solid"/>
                            <w14:round/>
                          </w14:textOutline>
                        </w:rPr>
                      </w:pPr>
                    </w:p>
                  </w:txbxContent>
                </v:textbox>
              </v:shape>
              <v:shape id="WordArt 14" o:spid="_x0000_s1026" o:spt="202" type="#_x0000_t202" style="position:absolute;left:0;top:0;height:56137;width:3658;" filled="f" stroked="f" coordsize="21600,21600" o:gfxdata="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z6xJbgAAADbAAAA&#10;DwAAAAAAAAABACAAAAAiAAAAZHJzL2Rvd25yZXYueG1sUEsBAhQAFAAAAAgAh07iQDMvBZ47AAAA&#10;OQAAABAAAAAAAAAAAQAgAAAABwEAAGRycy9zaGFwZXhtbC54bWxQSwUGAAAAAAYABgBbAQAAsQMA&#10;AAAA&#10;" adj="10800">
                <v:fill on="f" focussize="0,0"/>
                <v:stroke on="f"/>
                <v:imagedata o:title=""/>
                <o:lock v:ext="edit" text="t" aspectratio="t"/>
                <v:textbox style="mso-fit-shape-to-text:t;">
                  <w:txbxContent>
                    <w:p>
                      <w:pPr>
                        <w:jc w:val="center"/>
                        <w:rPr>
                          <w:rFonts w:ascii="Bodoni MT" w:hAnsi="Bodoni MT"/>
                          <w:b/>
                          <w:bCs/>
                          <w:i/>
                          <w:iCs/>
                          <w:color w:val="FFFF99"/>
                          <w:sz w:val="120"/>
                          <w:szCs w:val="120"/>
                          <w14:shadow w14:blurRad="0" w14:dist="17907" w14:dir="13500000" w14:sx="100000" w14:sy="100000" w14:kx="0" w14:ky="0" w14:algn="ctr">
                            <w14:srgbClr w14:val="000000">
                              <w14:shade w14:val="60000"/>
                            </w14:srgbClr>
                          </w14:shadow>
                          <w14:textOutline w14:w="9525" w14:cap="flat" w14:cmpd="sng" w14:algn="ctr">
                            <w14:solidFill>
                              <w14:srgbClr w14:val="000000"/>
                            </w14:solidFill>
                            <w14:prstDash w14:val="solid"/>
                            <w14:round/>
                          </w14:textOutline>
                        </w:rPr>
                      </w:pPr>
                      <w:r>
                        <w:rPr>
                          <w:rFonts w:ascii="Bodoni MT" w:hAnsi="Bodoni MT"/>
                          <w:b/>
                          <w:bCs/>
                          <w:i/>
                          <w:iCs/>
                          <w:color w:val="FFFF99"/>
                          <w:sz w:val="120"/>
                          <w:szCs w:val="120"/>
                          <w14:shadow w14:blurRad="0" w14:dist="17907" w14:dir="13500000" w14:sx="100000" w14:sy="100000" w14:kx="0" w14:ky="0" w14:algn="ctr">
                            <w14:srgbClr w14:val="000000">
                              <w14:shade w14:val="60000"/>
                            </w14:srgbClr>
                          </w14:shadow>
                          <w14:textOutline w14:w="9525" w14:cap="flat" w14:cmpd="sng" w14:algn="ctr">
                            <w14:solidFill>
                              <w14:srgbClr w14:val="000000"/>
                            </w14:solidFill>
                            <w14:prstDash w14:val="solid"/>
                            <w14:round/>
                          </w14:textOutline>
                        </w:rPr>
                        <w:t>Gz</w:t>
                      </w:r>
                    </w:p>
                  </w:txbxContent>
                </v:textbox>
              </v:shape>
            </v:group>
          </w:pict>
        </mc:Fallback>
      </mc:AlternateContent>
    </w:r>
  </w:p>
  <w:p>
    <w:pPr>
      <w:pStyle w:val="17"/>
    </w:pPr>
    <w:r>
      <w:rPr>
        <w:rFonts w:eastAsia="方正姚体"/>
        <w:iCs/>
        <w:sz w:val="21"/>
        <w:u w:val="double"/>
      </w:rPr>
      <w:pict>
        <v:group id="_x0000_s3073" o:spid="_x0000_s3073" o:spt="203" style="position:absolute;left:0pt;margin-left:323.5pt;margin-top:4.7pt;height:18.6pt;width:24.4pt;z-index:251664384;mso-width-relative:page;mso-height-relative:page;" coordsize="6199,4730">
          <o:lock v:ext="edit" aspectratio="t"/>
          <v:shape id="_x0000_s3074" o:spid="_x0000_s3074" o:spt="3" type="#_x0000_t3" style="position:absolute;left:0;top:0;height:4155;width:6199;" fillcolor="#3366FF" filled="t" stroked="t" coordsize="21600,21600">
            <v:path/>
            <v:fill on="t" focussize="0,0"/>
            <v:stroke color="#3366FF"/>
            <v:imagedata o:title=""/>
            <o:lock v:ext="edit" aspectratio="t"/>
          </v:shape>
          <v:shape id="未知" o:spid="_x0000_s3075" style="position:absolute;left:1264;top:2464;height:1780;width:1041;" filled="f" stroked="t" coordsize="1400,2480" path="m0,0c340,198,638,398,871,811c1104,1224,1290,2132,1400,2480e">
            <v:path arrowok="t"/>
            <v:fill on="f" focussize="0,0"/>
            <v:stroke weight="6pt" color="#FFFFFF"/>
            <v:imagedata o:title=""/>
            <o:lock v:ext="edit" aspectratio="t"/>
          </v:shape>
          <v:shape id="未知" o:spid="_x0000_s3076" style="position:absolute;left:3611;top:2351;height:1981;width:1159;" filled="f" stroked="t" coordsize="1560,2760" path="m1560,0c1403,170,880,560,620,1020c360,1480,129,2397,0,2760e">
            <v:path arrowok="t"/>
            <v:fill on="f" focussize="0,0"/>
            <v:stroke weight="6pt" color="#FFFFFF"/>
            <v:imagedata o:title=""/>
            <o:lock v:ext="edit" aspectratio="t"/>
          </v:shape>
          <v:line id="_x0000_s3077" o:spid="_x0000_s3077" o:spt="20" style="position:absolute;left:2983;top:2362;height:2368;width:0;" stroked="t" coordsize="21600,21600">
            <v:path arrowok="t"/>
            <v:fill focussize="0,0"/>
            <v:stroke weight="6pt" color="#FFFFFF"/>
            <v:imagedata o:title=""/>
            <o:lock v:ext="edit" aspectratio="t"/>
          </v:line>
          <v:shape id="_x0000_s3078" o:spid="_x0000_s3078" o:spt="136" type="#_x0000_t136" style="position:absolute;left:2637;top:576;height:1602;width:3437;" fillcolor="#FFFF99" filled="t" coordsize="21600,21600">
            <v:path/>
            <v:fill on="t" focussize="0,0"/>
            <v:stroke/>
            <v:imagedata o:title=""/>
            <o:lock v:ext="edit" aspectratio="t"/>
            <v:textpath on="t" fitshape="t" fitpath="t" trim="t" xscale="f" string="Gx" style="font-family:Monotype Corsiva;font-size:96pt;font-style:italic;font-weight:bold;v-text-align:center;"/>
            <v:shadow on="t" type="emboss" color="lineOrFill darken(153)" color2="shadow add(102)" offset="-1pt,-1pt"/>
          </v:shape>
          <v:shape id="_x0000_s3079" o:spid="_x0000_s3079" o:spt="136" type="#_x0000_t136" style="position:absolute;left:149;top:784;height:1022;width:2458;" fillcolor="#FFFF99" filled="t" coordsize="21600,21600">
            <v:path/>
            <v:fill on="t" focussize="0,0"/>
            <v:stroke/>
            <v:imagedata o:title=""/>
            <o:lock v:ext="edit" aspectratio="t"/>
            <v:textpath on="t" fitshape="t" fitpath="t" trim="t" xscale="f" string="Gz" style="font-family:Bodoni MT;font-size:60pt;font-style:italic;font-weight:bold;v-text-align:center;"/>
            <v:shadow on="t" type="emboss" color="lineOrFill darken(153)" color2="shadow add(102)" offset="-1pt,-1pt"/>
          </v:shape>
        </v:group>
      </w:pict>
    </w:r>
  </w:p>
  <w:p>
    <w:pPr>
      <w:pStyle w:val="17"/>
      <w:jc w:val="both"/>
    </w:pPr>
    <w:r>
      <w:rPr>
        <w:rFonts w:hint="eastAsia"/>
        <w:sz w:val="21"/>
        <w:szCs w:val="21"/>
      </w:rPr>
      <w:tab/>
    </w:r>
    <w:r>
      <w:rPr>
        <w:rFonts w:hint="eastAsia"/>
      </w:rPr>
      <w:t>招标文件</w:t>
    </w:r>
    <w:r>
      <w:rPr>
        <w:rFonts w:hint="eastAsia"/>
        <w:lang w:val="en-US"/>
      </w:rPr>
      <w:t xml:space="preserve">                                                                       </w:t>
    </w:r>
    <w:r>
      <w:rPr>
        <w:rFonts w:hint="eastAsia"/>
      </w:rPr>
      <w:t>贵州国询建设投资咨询有限公司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1086"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068" w:hanging="527"/>
      </w:pPr>
      <w:rPr>
        <w:rFonts w:hint="default"/>
        <w:lang w:val="zh-CN" w:eastAsia="zh-CN" w:bidi="zh-CN"/>
      </w:rPr>
    </w:lvl>
    <w:lvl w:ilvl="2" w:tentative="0">
      <w:start w:val="0"/>
      <w:numFmt w:val="bullet"/>
      <w:lvlText w:val="•"/>
      <w:lvlJc w:val="left"/>
      <w:pPr>
        <w:ind w:left="3057" w:hanging="527"/>
      </w:pPr>
      <w:rPr>
        <w:rFonts w:hint="default"/>
        <w:lang w:val="zh-CN" w:eastAsia="zh-CN" w:bidi="zh-CN"/>
      </w:rPr>
    </w:lvl>
    <w:lvl w:ilvl="3" w:tentative="0">
      <w:start w:val="0"/>
      <w:numFmt w:val="bullet"/>
      <w:lvlText w:val="•"/>
      <w:lvlJc w:val="left"/>
      <w:pPr>
        <w:ind w:left="4045" w:hanging="527"/>
      </w:pPr>
      <w:rPr>
        <w:rFonts w:hint="default"/>
        <w:lang w:val="zh-CN" w:eastAsia="zh-CN" w:bidi="zh-CN"/>
      </w:rPr>
    </w:lvl>
    <w:lvl w:ilvl="4" w:tentative="0">
      <w:start w:val="0"/>
      <w:numFmt w:val="bullet"/>
      <w:lvlText w:val="•"/>
      <w:lvlJc w:val="left"/>
      <w:pPr>
        <w:ind w:left="5034" w:hanging="527"/>
      </w:pPr>
      <w:rPr>
        <w:rFonts w:hint="default"/>
        <w:lang w:val="zh-CN" w:eastAsia="zh-CN" w:bidi="zh-CN"/>
      </w:rPr>
    </w:lvl>
    <w:lvl w:ilvl="5" w:tentative="0">
      <w:start w:val="0"/>
      <w:numFmt w:val="bullet"/>
      <w:lvlText w:val="•"/>
      <w:lvlJc w:val="left"/>
      <w:pPr>
        <w:ind w:left="6023" w:hanging="527"/>
      </w:pPr>
      <w:rPr>
        <w:rFonts w:hint="default"/>
        <w:lang w:val="zh-CN" w:eastAsia="zh-CN" w:bidi="zh-CN"/>
      </w:rPr>
    </w:lvl>
    <w:lvl w:ilvl="6" w:tentative="0">
      <w:start w:val="0"/>
      <w:numFmt w:val="bullet"/>
      <w:lvlText w:val="•"/>
      <w:lvlJc w:val="left"/>
      <w:pPr>
        <w:ind w:left="7011" w:hanging="527"/>
      </w:pPr>
      <w:rPr>
        <w:rFonts w:hint="default"/>
        <w:lang w:val="zh-CN" w:eastAsia="zh-CN" w:bidi="zh-CN"/>
      </w:rPr>
    </w:lvl>
    <w:lvl w:ilvl="7" w:tentative="0">
      <w:start w:val="0"/>
      <w:numFmt w:val="bullet"/>
      <w:lvlText w:val="•"/>
      <w:lvlJc w:val="left"/>
      <w:pPr>
        <w:ind w:left="8000" w:hanging="527"/>
      </w:pPr>
      <w:rPr>
        <w:rFonts w:hint="default"/>
        <w:lang w:val="zh-CN" w:eastAsia="zh-CN" w:bidi="zh-CN"/>
      </w:rPr>
    </w:lvl>
    <w:lvl w:ilvl="8" w:tentative="0">
      <w:start w:val="0"/>
      <w:numFmt w:val="bullet"/>
      <w:lvlText w:val="•"/>
      <w:lvlJc w:val="left"/>
      <w:pPr>
        <w:ind w:left="8988" w:hanging="527"/>
      </w:pPr>
      <w:rPr>
        <w:rFonts w:hint="default"/>
        <w:lang w:val="zh-CN" w:eastAsia="zh-CN" w:bidi="zh-CN"/>
      </w:rPr>
    </w:lvl>
  </w:abstractNum>
  <w:abstractNum w:abstractNumId="1">
    <w:nsid w:val="D2342240"/>
    <w:multiLevelType w:val="multilevel"/>
    <w:tmpl w:val="D2342240"/>
    <w:lvl w:ilvl="0" w:tentative="0">
      <w:start w:val="1"/>
      <w:numFmt w:val="decimal"/>
      <w:lvlText w:val="（%1）"/>
      <w:lvlJc w:val="left"/>
      <w:pPr>
        <w:ind w:left="1086"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068" w:hanging="527"/>
      </w:pPr>
      <w:rPr>
        <w:rFonts w:hint="default"/>
        <w:lang w:val="zh-CN" w:eastAsia="zh-CN" w:bidi="zh-CN"/>
      </w:rPr>
    </w:lvl>
    <w:lvl w:ilvl="2" w:tentative="0">
      <w:start w:val="0"/>
      <w:numFmt w:val="bullet"/>
      <w:lvlText w:val="•"/>
      <w:lvlJc w:val="left"/>
      <w:pPr>
        <w:ind w:left="3057" w:hanging="527"/>
      </w:pPr>
      <w:rPr>
        <w:rFonts w:hint="default"/>
        <w:lang w:val="zh-CN" w:eastAsia="zh-CN" w:bidi="zh-CN"/>
      </w:rPr>
    </w:lvl>
    <w:lvl w:ilvl="3" w:tentative="0">
      <w:start w:val="0"/>
      <w:numFmt w:val="bullet"/>
      <w:lvlText w:val="•"/>
      <w:lvlJc w:val="left"/>
      <w:pPr>
        <w:ind w:left="4045" w:hanging="527"/>
      </w:pPr>
      <w:rPr>
        <w:rFonts w:hint="default"/>
        <w:lang w:val="zh-CN" w:eastAsia="zh-CN" w:bidi="zh-CN"/>
      </w:rPr>
    </w:lvl>
    <w:lvl w:ilvl="4" w:tentative="0">
      <w:start w:val="0"/>
      <w:numFmt w:val="bullet"/>
      <w:lvlText w:val="•"/>
      <w:lvlJc w:val="left"/>
      <w:pPr>
        <w:ind w:left="5034" w:hanging="527"/>
      </w:pPr>
      <w:rPr>
        <w:rFonts w:hint="default"/>
        <w:lang w:val="zh-CN" w:eastAsia="zh-CN" w:bidi="zh-CN"/>
      </w:rPr>
    </w:lvl>
    <w:lvl w:ilvl="5" w:tentative="0">
      <w:start w:val="0"/>
      <w:numFmt w:val="bullet"/>
      <w:lvlText w:val="•"/>
      <w:lvlJc w:val="left"/>
      <w:pPr>
        <w:ind w:left="6023" w:hanging="527"/>
      </w:pPr>
      <w:rPr>
        <w:rFonts w:hint="default"/>
        <w:lang w:val="zh-CN" w:eastAsia="zh-CN" w:bidi="zh-CN"/>
      </w:rPr>
    </w:lvl>
    <w:lvl w:ilvl="6" w:tentative="0">
      <w:start w:val="0"/>
      <w:numFmt w:val="bullet"/>
      <w:lvlText w:val="•"/>
      <w:lvlJc w:val="left"/>
      <w:pPr>
        <w:ind w:left="7011" w:hanging="527"/>
      </w:pPr>
      <w:rPr>
        <w:rFonts w:hint="default"/>
        <w:lang w:val="zh-CN" w:eastAsia="zh-CN" w:bidi="zh-CN"/>
      </w:rPr>
    </w:lvl>
    <w:lvl w:ilvl="7" w:tentative="0">
      <w:start w:val="0"/>
      <w:numFmt w:val="bullet"/>
      <w:lvlText w:val="•"/>
      <w:lvlJc w:val="left"/>
      <w:pPr>
        <w:ind w:left="8000" w:hanging="527"/>
      </w:pPr>
      <w:rPr>
        <w:rFonts w:hint="default"/>
        <w:lang w:val="zh-CN" w:eastAsia="zh-CN" w:bidi="zh-CN"/>
      </w:rPr>
    </w:lvl>
    <w:lvl w:ilvl="8" w:tentative="0">
      <w:start w:val="0"/>
      <w:numFmt w:val="bullet"/>
      <w:lvlText w:val="•"/>
      <w:lvlJc w:val="left"/>
      <w:pPr>
        <w:ind w:left="8988" w:hanging="527"/>
      </w:pPr>
      <w:rPr>
        <w:rFonts w:hint="default"/>
        <w:lang w:val="zh-CN" w:eastAsia="zh-CN" w:bidi="zh-CN"/>
      </w:rPr>
    </w:lvl>
  </w:abstractNum>
  <w:abstractNum w:abstractNumId="2">
    <w:nsid w:val="0000000A"/>
    <w:multiLevelType w:val="singleLevel"/>
    <w:tmpl w:val="0000000A"/>
    <w:lvl w:ilvl="0" w:tentative="0">
      <w:start w:val="1"/>
      <w:numFmt w:val="decimal"/>
      <w:suff w:val="nothing"/>
      <w:lvlText w:val="%1、"/>
      <w:lvlJc w:val="left"/>
      <w:pPr>
        <w:ind w:left="20"/>
      </w:pPr>
    </w:lvl>
  </w:abstractNum>
  <w:abstractNum w:abstractNumId="3">
    <w:nsid w:val="0000000B"/>
    <w:multiLevelType w:val="multilevel"/>
    <w:tmpl w:val="0000000B"/>
    <w:lvl w:ilvl="0" w:tentative="0">
      <w:start w:val="1"/>
      <w:numFmt w:val="decimal"/>
      <w:lvlText w:val="%1."/>
      <w:lvlJc w:val="left"/>
      <w:pPr>
        <w:ind w:left="718" w:hanging="159"/>
      </w:pPr>
      <w:rPr>
        <w:rFonts w:hint="default" w:ascii="Times New Roman" w:hAnsi="Times New Roman" w:eastAsia="Times New Roman" w:cs="Times New Roman"/>
        <w:spacing w:val="0"/>
        <w:w w:val="99"/>
        <w:sz w:val="19"/>
        <w:szCs w:val="19"/>
        <w:lang w:val="zh-CN" w:eastAsia="zh-CN" w:bidi="zh-CN"/>
      </w:rPr>
    </w:lvl>
    <w:lvl w:ilvl="1" w:tentative="0">
      <w:start w:val="1"/>
      <w:numFmt w:val="decimal"/>
      <w:lvlText w:val="（%2）"/>
      <w:lvlJc w:val="left"/>
      <w:pPr>
        <w:ind w:left="1733" w:hanging="601"/>
      </w:pPr>
      <w:rPr>
        <w:rFonts w:hint="default" w:ascii="宋体" w:hAnsi="宋体" w:eastAsia="宋体" w:cs="宋体"/>
        <w:w w:val="100"/>
        <w:sz w:val="22"/>
        <w:szCs w:val="22"/>
        <w:lang w:val="zh-CN" w:eastAsia="zh-CN" w:bidi="zh-CN"/>
      </w:rPr>
    </w:lvl>
    <w:lvl w:ilvl="2" w:tentative="0">
      <w:start w:val="0"/>
      <w:numFmt w:val="bullet"/>
      <w:lvlText w:val="•"/>
      <w:lvlJc w:val="left"/>
      <w:pPr>
        <w:ind w:left="2592" w:hanging="601"/>
      </w:pPr>
      <w:rPr>
        <w:rFonts w:hint="default"/>
        <w:lang w:val="zh-CN" w:eastAsia="zh-CN" w:bidi="zh-CN"/>
      </w:rPr>
    </w:lvl>
    <w:lvl w:ilvl="3" w:tentative="0">
      <w:start w:val="0"/>
      <w:numFmt w:val="bullet"/>
      <w:lvlText w:val="•"/>
      <w:lvlJc w:val="left"/>
      <w:pPr>
        <w:ind w:left="3445" w:hanging="601"/>
      </w:pPr>
      <w:rPr>
        <w:rFonts w:hint="default"/>
        <w:lang w:val="zh-CN" w:eastAsia="zh-CN" w:bidi="zh-CN"/>
      </w:rPr>
    </w:lvl>
    <w:lvl w:ilvl="4" w:tentative="0">
      <w:start w:val="0"/>
      <w:numFmt w:val="bullet"/>
      <w:lvlText w:val="•"/>
      <w:lvlJc w:val="left"/>
      <w:pPr>
        <w:ind w:left="4298" w:hanging="601"/>
      </w:pPr>
      <w:rPr>
        <w:rFonts w:hint="default"/>
        <w:lang w:val="zh-CN" w:eastAsia="zh-CN" w:bidi="zh-CN"/>
      </w:rPr>
    </w:lvl>
    <w:lvl w:ilvl="5" w:tentative="0">
      <w:start w:val="0"/>
      <w:numFmt w:val="bullet"/>
      <w:lvlText w:val="•"/>
      <w:lvlJc w:val="left"/>
      <w:pPr>
        <w:ind w:left="5151" w:hanging="601"/>
      </w:pPr>
      <w:rPr>
        <w:rFonts w:hint="default"/>
        <w:lang w:val="zh-CN" w:eastAsia="zh-CN" w:bidi="zh-CN"/>
      </w:rPr>
    </w:lvl>
    <w:lvl w:ilvl="6" w:tentative="0">
      <w:start w:val="0"/>
      <w:numFmt w:val="bullet"/>
      <w:lvlText w:val="•"/>
      <w:lvlJc w:val="left"/>
      <w:pPr>
        <w:ind w:left="6003" w:hanging="601"/>
      </w:pPr>
      <w:rPr>
        <w:rFonts w:hint="default"/>
        <w:lang w:val="zh-CN" w:eastAsia="zh-CN" w:bidi="zh-CN"/>
      </w:rPr>
    </w:lvl>
    <w:lvl w:ilvl="7" w:tentative="0">
      <w:start w:val="0"/>
      <w:numFmt w:val="bullet"/>
      <w:lvlText w:val="•"/>
      <w:lvlJc w:val="left"/>
      <w:pPr>
        <w:ind w:left="6856" w:hanging="601"/>
      </w:pPr>
      <w:rPr>
        <w:rFonts w:hint="default"/>
        <w:lang w:val="zh-CN" w:eastAsia="zh-CN" w:bidi="zh-CN"/>
      </w:rPr>
    </w:lvl>
    <w:lvl w:ilvl="8" w:tentative="0">
      <w:start w:val="0"/>
      <w:numFmt w:val="bullet"/>
      <w:lvlText w:val="•"/>
      <w:lvlJc w:val="left"/>
      <w:pPr>
        <w:ind w:left="7709" w:hanging="601"/>
      </w:pPr>
      <w:rPr>
        <w:rFonts w:hint="default"/>
        <w:lang w:val="zh-CN" w:eastAsia="zh-CN" w:bidi="zh-CN"/>
      </w:rPr>
    </w:lvl>
  </w:abstractNum>
  <w:abstractNum w:abstractNumId="4">
    <w:nsid w:val="0000000C"/>
    <w:multiLevelType w:val="singleLevel"/>
    <w:tmpl w:val="0000000C"/>
    <w:lvl w:ilvl="0" w:tentative="0">
      <w:start w:val="2"/>
      <w:numFmt w:val="chineseCounting"/>
      <w:suff w:val="nothing"/>
      <w:lvlText w:val="%1、"/>
      <w:lvlJc w:val="left"/>
      <w:rPr>
        <w:rFonts w:hint="eastAsia"/>
      </w:rPr>
    </w:lvl>
  </w:abstractNum>
  <w:abstractNum w:abstractNumId="5">
    <w:nsid w:val="0000000D"/>
    <w:multiLevelType w:val="multilevel"/>
    <w:tmpl w:val="0000000D"/>
    <w:lvl w:ilvl="0" w:tentative="0">
      <w:start w:val="5"/>
      <w:numFmt w:val="decimal"/>
      <w:lvlText w:val="%1"/>
      <w:lvlJc w:val="left"/>
      <w:pPr>
        <w:ind w:left="139" w:hanging="372"/>
      </w:pPr>
      <w:rPr>
        <w:rFonts w:hint="default"/>
        <w:lang w:val="zh-CN" w:eastAsia="zh-CN" w:bidi="zh-CN"/>
      </w:rPr>
    </w:lvl>
    <w:lvl w:ilvl="1" w:tentative="0">
      <w:start w:val="1"/>
      <w:numFmt w:val="decimal"/>
      <w:lvlText w:val="%1.%2"/>
      <w:lvlJc w:val="left"/>
      <w:pPr>
        <w:ind w:left="139" w:hanging="372"/>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2305" w:hanging="372"/>
      </w:pPr>
      <w:rPr>
        <w:rFonts w:hint="default"/>
        <w:lang w:val="zh-CN" w:eastAsia="zh-CN" w:bidi="zh-CN"/>
      </w:rPr>
    </w:lvl>
    <w:lvl w:ilvl="3" w:tentative="0">
      <w:start w:val="0"/>
      <w:numFmt w:val="bullet"/>
      <w:lvlText w:val="•"/>
      <w:lvlJc w:val="left"/>
      <w:pPr>
        <w:ind w:left="3387" w:hanging="372"/>
      </w:pPr>
      <w:rPr>
        <w:rFonts w:hint="default"/>
        <w:lang w:val="zh-CN" w:eastAsia="zh-CN" w:bidi="zh-CN"/>
      </w:rPr>
    </w:lvl>
    <w:lvl w:ilvl="4" w:tentative="0">
      <w:start w:val="0"/>
      <w:numFmt w:val="bullet"/>
      <w:lvlText w:val="•"/>
      <w:lvlJc w:val="left"/>
      <w:pPr>
        <w:ind w:left="4470" w:hanging="372"/>
      </w:pPr>
      <w:rPr>
        <w:rFonts w:hint="default"/>
        <w:lang w:val="zh-CN" w:eastAsia="zh-CN" w:bidi="zh-CN"/>
      </w:rPr>
    </w:lvl>
    <w:lvl w:ilvl="5" w:tentative="0">
      <w:start w:val="0"/>
      <w:numFmt w:val="bullet"/>
      <w:lvlText w:val="•"/>
      <w:lvlJc w:val="left"/>
      <w:pPr>
        <w:ind w:left="5553" w:hanging="372"/>
      </w:pPr>
      <w:rPr>
        <w:rFonts w:hint="default"/>
        <w:lang w:val="zh-CN" w:eastAsia="zh-CN" w:bidi="zh-CN"/>
      </w:rPr>
    </w:lvl>
    <w:lvl w:ilvl="6" w:tentative="0">
      <w:start w:val="0"/>
      <w:numFmt w:val="bullet"/>
      <w:lvlText w:val="•"/>
      <w:lvlJc w:val="left"/>
      <w:pPr>
        <w:ind w:left="6635" w:hanging="372"/>
      </w:pPr>
      <w:rPr>
        <w:rFonts w:hint="default"/>
        <w:lang w:val="zh-CN" w:eastAsia="zh-CN" w:bidi="zh-CN"/>
      </w:rPr>
    </w:lvl>
    <w:lvl w:ilvl="7" w:tentative="0">
      <w:start w:val="0"/>
      <w:numFmt w:val="bullet"/>
      <w:lvlText w:val="•"/>
      <w:lvlJc w:val="left"/>
      <w:pPr>
        <w:ind w:left="7718" w:hanging="372"/>
      </w:pPr>
      <w:rPr>
        <w:rFonts w:hint="default"/>
        <w:lang w:val="zh-CN" w:eastAsia="zh-CN" w:bidi="zh-CN"/>
      </w:rPr>
    </w:lvl>
    <w:lvl w:ilvl="8" w:tentative="0">
      <w:start w:val="0"/>
      <w:numFmt w:val="bullet"/>
      <w:lvlText w:val="•"/>
      <w:lvlJc w:val="left"/>
      <w:pPr>
        <w:ind w:left="8800" w:hanging="372"/>
      </w:pPr>
      <w:rPr>
        <w:rFonts w:hint="default"/>
        <w:lang w:val="zh-CN" w:eastAsia="zh-CN" w:bidi="zh-CN"/>
      </w:rPr>
    </w:lvl>
  </w:abstractNum>
  <w:abstractNum w:abstractNumId="6">
    <w:nsid w:val="01C50507"/>
    <w:multiLevelType w:val="multilevel"/>
    <w:tmpl w:val="01C50507"/>
    <w:lvl w:ilvl="0" w:tentative="0">
      <w:start w:val="1"/>
      <w:numFmt w:val="decimal"/>
      <w:lvlText w:val="%1、"/>
      <w:lvlJc w:val="left"/>
      <w:pPr>
        <w:ind w:left="360" w:hanging="360"/>
      </w:pPr>
      <w:rPr>
        <w:rFonts w:hint="default" w:ascii="宋体" w:hAnsi="宋体" w:eastAsia="宋体" w:cs="宋体"/>
        <w:color w:val="auto"/>
        <w:sz w:val="22"/>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0F8E78AB"/>
    <w:multiLevelType w:val="multilevel"/>
    <w:tmpl w:val="0F8E78AB"/>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183C604A"/>
    <w:multiLevelType w:val="singleLevel"/>
    <w:tmpl w:val="183C604A"/>
    <w:lvl w:ilvl="0" w:tentative="0">
      <w:start w:val="1"/>
      <w:numFmt w:val="japaneseCounting"/>
      <w:lvlText w:val="%1、"/>
      <w:lvlJc w:val="left"/>
      <w:pPr>
        <w:tabs>
          <w:tab w:val="left" w:pos="960"/>
        </w:tabs>
        <w:ind w:left="960" w:hanging="480"/>
      </w:pPr>
      <w:rPr>
        <w:rFonts w:hint="eastAsia"/>
      </w:rPr>
    </w:lvl>
  </w:abstractNum>
  <w:abstractNum w:abstractNumId="9">
    <w:nsid w:val="383F7C2F"/>
    <w:multiLevelType w:val="multilevel"/>
    <w:tmpl w:val="383F7C2F"/>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16159A4"/>
    <w:multiLevelType w:val="singleLevel"/>
    <w:tmpl w:val="616159A4"/>
    <w:lvl w:ilvl="0" w:tentative="0">
      <w:start w:val="1"/>
      <w:numFmt w:val="chineseCounting"/>
      <w:suff w:val="nothing"/>
      <w:lvlText w:val="（%1）"/>
      <w:lvlJc w:val="left"/>
      <w:rPr>
        <w:rFonts w:hint="eastAsia"/>
      </w:rPr>
    </w:lvl>
  </w:abstractNum>
  <w:num w:numId="1">
    <w:abstractNumId w:val="2"/>
  </w:num>
  <w:num w:numId="2">
    <w:abstractNumId w:val="4"/>
  </w:num>
  <w:num w:numId="3">
    <w:abstractNumId w:val="8"/>
  </w:num>
  <w:num w:numId="4">
    <w:abstractNumId w:val="9"/>
  </w:num>
  <w:num w:numId="5">
    <w:abstractNumId w:val="5"/>
  </w:num>
  <w:num w:numId="6">
    <w:abstractNumId w:val="0"/>
  </w:num>
  <w:num w:numId="7">
    <w:abstractNumId w:val="1"/>
  </w:num>
  <w:num w:numId="8">
    <w:abstractNumId w:val="10"/>
  </w:num>
  <w:num w:numId="9">
    <w:abstractNumId w:val="3"/>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1,3"/>
    </o:shapelayout>
  </w:hdrShapeDefaults>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4ZTQ2NGVlMmYwNzQxYTlkZGFlMGJlZjIzNjlkMmYifQ=="/>
  </w:docVars>
  <w:rsids>
    <w:rsidRoot w:val="000D7E1A"/>
    <w:rsid w:val="0006264B"/>
    <w:rsid w:val="000C054E"/>
    <w:rsid w:val="000D7158"/>
    <w:rsid w:val="000D7E1A"/>
    <w:rsid w:val="000F4153"/>
    <w:rsid w:val="00141D68"/>
    <w:rsid w:val="00144844"/>
    <w:rsid w:val="00246035"/>
    <w:rsid w:val="002814B6"/>
    <w:rsid w:val="0029605C"/>
    <w:rsid w:val="00301BFC"/>
    <w:rsid w:val="00304706"/>
    <w:rsid w:val="0030714B"/>
    <w:rsid w:val="00320537"/>
    <w:rsid w:val="004A48A9"/>
    <w:rsid w:val="004E0611"/>
    <w:rsid w:val="005D35C0"/>
    <w:rsid w:val="005E61D0"/>
    <w:rsid w:val="00765DF1"/>
    <w:rsid w:val="007723C4"/>
    <w:rsid w:val="00792948"/>
    <w:rsid w:val="007F1968"/>
    <w:rsid w:val="0083702A"/>
    <w:rsid w:val="008C35CD"/>
    <w:rsid w:val="00913EAA"/>
    <w:rsid w:val="009762A9"/>
    <w:rsid w:val="009F41A9"/>
    <w:rsid w:val="00A52783"/>
    <w:rsid w:val="00BC33A2"/>
    <w:rsid w:val="00C73327"/>
    <w:rsid w:val="00C7600D"/>
    <w:rsid w:val="00CB2560"/>
    <w:rsid w:val="00CB6BB0"/>
    <w:rsid w:val="00D12362"/>
    <w:rsid w:val="00D445D2"/>
    <w:rsid w:val="00E14230"/>
    <w:rsid w:val="00E53CB7"/>
    <w:rsid w:val="00ED00E1"/>
    <w:rsid w:val="00EF1C88"/>
    <w:rsid w:val="00F0780A"/>
    <w:rsid w:val="00FF0963"/>
    <w:rsid w:val="01D00F35"/>
    <w:rsid w:val="023E09E3"/>
    <w:rsid w:val="03536983"/>
    <w:rsid w:val="03A8241E"/>
    <w:rsid w:val="040D48FF"/>
    <w:rsid w:val="049A7D52"/>
    <w:rsid w:val="04BC6507"/>
    <w:rsid w:val="051F2C98"/>
    <w:rsid w:val="05A463A7"/>
    <w:rsid w:val="05C43680"/>
    <w:rsid w:val="06481FA5"/>
    <w:rsid w:val="06FE4A64"/>
    <w:rsid w:val="0A053F04"/>
    <w:rsid w:val="0AF16CCD"/>
    <w:rsid w:val="0FF90A2D"/>
    <w:rsid w:val="101F3DEE"/>
    <w:rsid w:val="12ED45C6"/>
    <w:rsid w:val="13D20380"/>
    <w:rsid w:val="14EE0A23"/>
    <w:rsid w:val="19461C80"/>
    <w:rsid w:val="1AD7345B"/>
    <w:rsid w:val="1B3B5146"/>
    <w:rsid w:val="1C101602"/>
    <w:rsid w:val="1CAE2CA8"/>
    <w:rsid w:val="1D60708B"/>
    <w:rsid w:val="1E3D707B"/>
    <w:rsid w:val="1FE9483A"/>
    <w:rsid w:val="2105114A"/>
    <w:rsid w:val="21DC5877"/>
    <w:rsid w:val="2393596F"/>
    <w:rsid w:val="23FE77D6"/>
    <w:rsid w:val="241E37EA"/>
    <w:rsid w:val="25027D50"/>
    <w:rsid w:val="26AF6F7E"/>
    <w:rsid w:val="27310E94"/>
    <w:rsid w:val="28F17BA2"/>
    <w:rsid w:val="293A4F3B"/>
    <w:rsid w:val="2A2F6D88"/>
    <w:rsid w:val="2C004942"/>
    <w:rsid w:val="2E4C7DD2"/>
    <w:rsid w:val="329313A2"/>
    <w:rsid w:val="32ED1376"/>
    <w:rsid w:val="32F62D10"/>
    <w:rsid w:val="33156F37"/>
    <w:rsid w:val="334B3407"/>
    <w:rsid w:val="36544F89"/>
    <w:rsid w:val="374C49CE"/>
    <w:rsid w:val="37DB2E0F"/>
    <w:rsid w:val="396C52DB"/>
    <w:rsid w:val="39812EC5"/>
    <w:rsid w:val="39E76753"/>
    <w:rsid w:val="3B75427B"/>
    <w:rsid w:val="3B9D610E"/>
    <w:rsid w:val="3CC86B0D"/>
    <w:rsid w:val="3E522DF3"/>
    <w:rsid w:val="3FB53496"/>
    <w:rsid w:val="40481ECC"/>
    <w:rsid w:val="40B81A48"/>
    <w:rsid w:val="43304214"/>
    <w:rsid w:val="434430A1"/>
    <w:rsid w:val="43967420"/>
    <w:rsid w:val="43F26A47"/>
    <w:rsid w:val="449158B7"/>
    <w:rsid w:val="49154758"/>
    <w:rsid w:val="49403781"/>
    <w:rsid w:val="497E78D2"/>
    <w:rsid w:val="49DF428D"/>
    <w:rsid w:val="4D737A45"/>
    <w:rsid w:val="4E242C0A"/>
    <w:rsid w:val="50E602F5"/>
    <w:rsid w:val="511B54FC"/>
    <w:rsid w:val="52543404"/>
    <w:rsid w:val="53314C90"/>
    <w:rsid w:val="53AD5722"/>
    <w:rsid w:val="546520A4"/>
    <w:rsid w:val="547443A1"/>
    <w:rsid w:val="553936E0"/>
    <w:rsid w:val="55CF1521"/>
    <w:rsid w:val="56766496"/>
    <w:rsid w:val="57510CE4"/>
    <w:rsid w:val="584A0B77"/>
    <w:rsid w:val="591D731D"/>
    <w:rsid w:val="592A37B5"/>
    <w:rsid w:val="59BF127A"/>
    <w:rsid w:val="5B45070A"/>
    <w:rsid w:val="5B9F5F37"/>
    <w:rsid w:val="5C375E7B"/>
    <w:rsid w:val="5C7116CB"/>
    <w:rsid w:val="5E901B04"/>
    <w:rsid w:val="5F8D63C2"/>
    <w:rsid w:val="5FC33EDE"/>
    <w:rsid w:val="607D14DF"/>
    <w:rsid w:val="62457220"/>
    <w:rsid w:val="635A6FE6"/>
    <w:rsid w:val="6481445B"/>
    <w:rsid w:val="64C05D75"/>
    <w:rsid w:val="64CC5C8A"/>
    <w:rsid w:val="66A8375B"/>
    <w:rsid w:val="67535E94"/>
    <w:rsid w:val="67E51193"/>
    <w:rsid w:val="684111EC"/>
    <w:rsid w:val="69F966A4"/>
    <w:rsid w:val="6A976006"/>
    <w:rsid w:val="6ADB1093"/>
    <w:rsid w:val="6D612BB2"/>
    <w:rsid w:val="6D97086C"/>
    <w:rsid w:val="6EB14DA4"/>
    <w:rsid w:val="6F35176F"/>
    <w:rsid w:val="71C21583"/>
    <w:rsid w:val="72905DFA"/>
    <w:rsid w:val="73E43F31"/>
    <w:rsid w:val="74685448"/>
    <w:rsid w:val="764A3C87"/>
    <w:rsid w:val="76A5011F"/>
    <w:rsid w:val="77020129"/>
    <w:rsid w:val="7763627E"/>
    <w:rsid w:val="79CE5870"/>
    <w:rsid w:val="79F1548E"/>
    <w:rsid w:val="79F21927"/>
    <w:rsid w:val="7A2A1203"/>
    <w:rsid w:val="7AF11D0B"/>
    <w:rsid w:val="7B66790A"/>
    <w:rsid w:val="7B8A4996"/>
    <w:rsid w:val="7C3B03B3"/>
    <w:rsid w:val="7D8245F9"/>
    <w:rsid w:val="7DC97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1"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42"/>
      <w:ind w:right="113"/>
      <w:jc w:val="center"/>
      <w:outlineLvl w:val="0"/>
    </w:pPr>
    <w:rPr>
      <w:rFonts w:ascii="黑体" w:hAnsi="黑体" w:eastAsia="黑体" w:cs="黑体"/>
      <w:b/>
      <w:bCs/>
      <w:sz w:val="32"/>
      <w:szCs w:val="32"/>
    </w:rPr>
  </w:style>
  <w:style w:type="paragraph" w:styleId="4">
    <w:name w:val="heading 2"/>
    <w:basedOn w:val="1"/>
    <w:next w:val="1"/>
    <w:qFormat/>
    <w:uiPriority w:val="1"/>
    <w:pPr>
      <w:ind w:left="1437"/>
      <w:outlineLvl w:val="1"/>
    </w:pPr>
    <w:rPr>
      <w:sz w:val="30"/>
      <w:szCs w:val="30"/>
    </w:rPr>
  </w:style>
  <w:style w:type="paragraph" w:styleId="5">
    <w:name w:val="heading 3"/>
    <w:basedOn w:val="1"/>
    <w:next w:val="1"/>
    <w:qFormat/>
    <w:uiPriority w:val="1"/>
    <w:pPr>
      <w:spacing w:before="1"/>
      <w:ind w:left="3074" w:right="3093"/>
      <w:jc w:val="center"/>
      <w:outlineLvl w:val="2"/>
    </w:pPr>
    <w:rPr>
      <w:b/>
      <w:bCs/>
      <w:sz w:val="28"/>
      <w:szCs w:val="28"/>
    </w:rPr>
  </w:style>
  <w:style w:type="paragraph" w:styleId="6">
    <w:name w:val="heading 4"/>
    <w:basedOn w:val="1"/>
    <w:next w:val="1"/>
    <w:qFormat/>
    <w:uiPriority w:val="1"/>
    <w:pPr>
      <w:spacing w:before="1"/>
      <w:ind w:right="364"/>
      <w:jc w:val="center"/>
      <w:outlineLvl w:val="3"/>
    </w:pPr>
    <w:rPr>
      <w:sz w:val="28"/>
      <w:szCs w:val="28"/>
    </w:rPr>
  </w:style>
  <w:style w:type="paragraph" w:styleId="7">
    <w:name w:val="heading 5"/>
    <w:basedOn w:val="1"/>
    <w:next w:val="1"/>
    <w:qFormat/>
    <w:uiPriority w:val="1"/>
    <w:pPr>
      <w:spacing w:before="154"/>
      <w:ind w:left="1173"/>
      <w:outlineLvl w:val="4"/>
    </w:pPr>
    <w:rPr>
      <w:b/>
      <w:bCs/>
      <w:sz w:val="24"/>
      <w:szCs w:val="24"/>
    </w:rPr>
  </w:style>
  <w:style w:type="paragraph" w:styleId="8">
    <w:name w:val="heading 6"/>
    <w:basedOn w:val="1"/>
    <w:next w:val="1"/>
    <w:qFormat/>
    <w:uiPriority w:val="1"/>
    <w:pPr>
      <w:ind w:left="213"/>
      <w:outlineLvl w:val="5"/>
    </w:pPr>
    <w:rPr>
      <w:sz w:val="24"/>
      <w:szCs w:val="24"/>
    </w:rPr>
  </w:style>
  <w:style w:type="paragraph" w:styleId="9">
    <w:name w:val="heading 7"/>
    <w:basedOn w:val="1"/>
    <w:next w:val="1"/>
    <w:qFormat/>
    <w:uiPriority w:val="1"/>
    <w:pPr>
      <w:ind w:right="262"/>
      <w:jc w:val="center"/>
      <w:outlineLvl w:val="6"/>
    </w:p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djustRightInd w:val="0"/>
      <w:spacing w:line="360" w:lineRule="atLeast"/>
      <w:ind w:firstLine="420" w:firstLineChars="200"/>
      <w:textAlignment w:val="baseline"/>
    </w:pPr>
    <w:rPr>
      <w:sz w:val="24"/>
    </w:rPr>
  </w:style>
  <w:style w:type="paragraph" w:styleId="10">
    <w:name w:val="Body Text"/>
    <w:basedOn w:val="1"/>
    <w:next w:val="1"/>
    <w:link w:val="47"/>
    <w:qFormat/>
    <w:uiPriority w:val="1"/>
    <w:rPr>
      <w:sz w:val="21"/>
      <w:szCs w:val="21"/>
    </w:rPr>
  </w:style>
  <w:style w:type="paragraph" w:styleId="11">
    <w:name w:val="Body Text Indent"/>
    <w:basedOn w:val="1"/>
    <w:next w:val="12"/>
    <w:qFormat/>
    <w:uiPriority w:val="99"/>
    <w:pPr>
      <w:spacing w:after="120"/>
      <w:ind w:left="200" w:leftChars="200"/>
    </w:pPr>
    <w:rPr>
      <w:szCs w:val="24"/>
    </w:rPr>
  </w:style>
  <w:style w:type="paragraph" w:styleId="12">
    <w:name w:val="envelope return"/>
    <w:basedOn w:val="1"/>
    <w:qFormat/>
    <w:uiPriority w:val="99"/>
    <w:pPr>
      <w:snapToGrid w:val="0"/>
    </w:pPr>
    <w:rPr>
      <w:rFonts w:ascii="Cambria" w:hAnsi="Cambria" w:cs="Times New Roman"/>
    </w:rPr>
  </w:style>
  <w:style w:type="paragraph" w:styleId="13">
    <w:name w:val="toc 3"/>
    <w:basedOn w:val="1"/>
    <w:next w:val="1"/>
    <w:qFormat/>
    <w:uiPriority w:val="0"/>
    <w:pPr>
      <w:ind w:left="840" w:leftChars="400"/>
    </w:pPr>
  </w:style>
  <w:style w:type="paragraph" w:styleId="14">
    <w:name w:val="Body Text Indent 2"/>
    <w:basedOn w:val="1"/>
    <w:qFormat/>
    <w:uiPriority w:val="0"/>
    <w:pPr>
      <w:spacing w:after="120" w:line="480" w:lineRule="auto"/>
      <w:ind w:left="420" w:leftChars="200"/>
    </w:pPr>
    <w:rPr>
      <w:sz w:val="20"/>
    </w:rPr>
  </w:style>
  <w:style w:type="paragraph" w:styleId="15">
    <w:name w:val="Balloon Text"/>
    <w:basedOn w:val="1"/>
    <w:link w:val="41"/>
    <w:qFormat/>
    <w:uiPriority w:val="0"/>
    <w:rPr>
      <w:sz w:val="18"/>
      <w:szCs w:val="18"/>
    </w:rPr>
  </w:style>
  <w:style w:type="paragraph" w:styleId="16">
    <w:name w:val="footer"/>
    <w:basedOn w:val="1"/>
    <w:link w:val="40"/>
    <w:qFormat/>
    <w:uiPriority w:val="0"/>
    <w:pPr>
      <w:tabs>
        <w:tab w:val="center" w:pos="4153"/>
        <w:tab w:val="right" w:pos="8306"/>
      </w:tabs>
      <w:snapToGrid w:val="0"/>
    </w:pPr>
    <w:rPr>
      <w:sz w:val="18"/>
      <w:szCs w:val="18"/>
    </w:rPr>
  </w:style>
  <w:style w:type="paragraph" w:styleId="17">
    <w:name w:val="header"/>
    <w:basedOn w:val="1"/>
    <w:link w:val="39"/>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1"/>
    <w:pPr>
      <w:spacing w:before="393"/>
      <w:ind w:left="974"/>
    </w:pPr>
    <w:rPr>
      <w:sz w:val="30"/>
      <w:szCs w:val="30"/>
    </w:rPr>
  </w:style>
  <w:style w:type="paragraph" w:styleId="19">
    <w:name w:val="toc 2"/>
    <w:basedOn w:val="1"/>
    <w:next w:val="1"/>
    <w:qFormat/>
    <w:uiPriority w:val="0"/>
    <w:pPr>
      <w:ind w:left="420" w:leftChars="200"/>
    </w:pPr>
  </w:style>
  <w:style w:type="paragraph" w:styleId="20">
    <w:name w:val="Body Text 2"/>
    <w:basedOn w:val="1"/>
    <w:qFormat/>
    <w:uiPriority w:val="0"/>
  </w:style>
  <w:style w:type="paragraph" w:styleId="21">
    <w:name w:val="Normal (Web)"/>
    <w:basedOn w:val="1"/>
    <w:qFormat/>
    <w:uiPriority w:val="0"/>
    <w:pPr>
      <w:spacing w:beforeAutospacing="1" w:afterAutospacing="1"/>
    </w:pPr>
    <w:rPr>
      <w:rFonts w:cs="Times New Roman"/>
      <w:sz w:val="24"/>
      <w:lang w:val="en-US" w:bidi="ar-SA"/>
    </w:rPr>
  </w:style>
  <w:style w:type="paragraph" w:styleId="22">
    <w:name w:val="Body Text First Indent"/>
    <w:basedOn w:val="10"/>
    <w:qFormat/>
    <w:uiPriority w:val="99"/>
    <w:pPr>
      <w:ind w:firstLine="420" w:firstLineChars="100"/>
    </w:pPr>
  </w:style>
  <w:style w:type="paragraph" w:styleId="23">
    <w:name w:val="Body Text First Indent 2"/>
    <w:basedOn w:val="11"/>
    <w:qFormat/>
    <w:uiPriority w:val="99"/>
    <w:pPr>
      <w:ind w:left="420" w:firstLine="420" w:firstLineChars="200"/>
    </w:pPr>
    <w:rPr>
      <w:szCs w:val="20"/>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basedOn w:val="26"/>
    <w:qFormat/>
    <w:uiPriority w:val="0"/>
    <w:rPr>
      <w:color w:val="333333"/>
      <w:u w:val="none"/>
    </w:rPr>
  </w:style>
  <w:style w:type="character" w:styleId="28">
    <w:name w:val="Hyperlink"/>
    <w:basedOn w:val="26"/>
    <w:qFormat/>
    <w:uiPriority w:val="99"/>
    <w:rPr>
      <w:color w:val="0000FF"/>
      <w:u w:val="single"/>
    </w:rPr>
  </w:style>
  <w:style w:type="paragraph" w:customStyle="1" w:styleId="29">
    <w:name w:val="Default"/>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30">
    <w:name w:val="_Style 4"/>
    <w:basedOn w:val="3"/>
    <w:next w:val="1"/>
    <w:qFormat/>
    <w:uiPriority w:val="39"/>
    <w:pPr>
      <w:keepLines/>
      <w:widowControl/>
      <w:spacing w:before="480" w:line="276" w:lineRule="auto"/>
      <w:jc w:val="left"/>
      <w:outlineLvl w:val="9"/>
    </w:pPr>
    <w:rPr>
      <w:rFonts w:ascii="Cambria" w:hAnsi="Cambria" w:eastAsia="宋体" w:cs="Times New Roman"/>
      <w:color w:val="365F91"/>
      <w:szCs w:val="28"/>
    </w:rPr>
  </w:style>
  <w:style w:type="paragraph" w:customStyle="1" w:styleId="31">
    <w:name w:val="_Style 48"/>
    <w:basedOn w:val="1"/>
    <w:qFormat/>
    <w:uiPriority w:val="0"/>
  </w:style>
  <w:style w:type="paragraph" w:customStyle="1" w:styleId="32">
    <w:name w:val="首行缩进"/>
    <w:basedOn w:val="1"/>
    <w:qFormat/>
    <w:uiPriority w:val="0"/>
    <w:pPr>
      <w:ind w:firstLine="480" w:firstLineChars="200"/>
    </w:pPr>
  </w:style>
  <w:style w:type="table" w:customStyle="1" w:styleId="33">
    <w:name w:val="Table Normal"/>
    <w:qFormat/>
    <w:uiPriority w:val="2"/>
    <w:tblPr>
      <w:tblCellMar>
        <w:top w:w="0" w:type="dxa"/>
        <w:left w:w="0" w:type="dxa"/>
        <w:bottom w:w="0" w:type="dxa"/>
        <w:right w:w="0" w:type="dxa"/>
      </w:tblCellMar>
    </w:tblPr>
  </w:style>
  <w:style w:type="paragraph" w:customStyle="1" w:styleId="34">
    <w:name w:val="列表段落1"/>
    <w:basedOn w:val="1"/>
    <w:qFormat/>
    <w:uiPriority w:val="34"/>
    <w:pPr>
      <w:ind w:left="249"/>
    </w:pPr>
  </w:style>
  <w:style w:type="paragraph" w:customStyle="1" w:styleId="35">
    <w:name w:val="Table Paragraph"/>
    <w:basedOn w:val="1"/>
    <w:qFormat/>
    <w:uiPriority w:val="1"/>
  </w:style>
  <w:style w:type="paragraph" w:customStyle="1" w:styleId="36">
    <w:name w:val="WPSOffice手动目录 1"/>
    <w:qFormat/>
    <w:uiPriority w:val="0"/>
    <w:rPr>
      <w:rFonts w:ascii="Times New Roman" w:hAnsi="Times New Roman" w:eastAsia="宋体" w:cs="Times New Roman"/>
      <w:lang w:val="en-US" w:eastAsia="zh-CN" w:bidi="ar-SA"/>
    </w:rPr>
  </w:style>
  <w:style w:type="paragraph" w:customStyle="1" w:styleId="37">
    <w:name w:val="msonormal"/>
    <w:basedOn w:val="1"/>
    <w:qFormat/>
    <w:uiPriority w:val="0"/>
    <w:pPr>
      <w:widowControl/>
      <w:autoSpaceDE/>
      <w:autoSpaceDN/>
      <w:spacing w:before="100" w:beforeAutospacing="1" w:after="100" w:afterAutospacing="1"/>
    </w:pPr>
    <w:rPr>
      <w:sz w:val="24"/>
      <w:szCs w:val="24"/>
      <w:lang w:val="en-US" w:bidi="ar-SA"/>
    </w:rPr>
  </w:style>
  <w:style w:type="paragraph" w:customStyle="1" w:styleId="38">
    <w:name w:val="p1"/>
    <w:basedOn w:val="1"/>
    <w:qFormat/>
    <w:uiPriority w:val="0"/>
    <w:pPr>
      <w:spacing w:line="380" w:lineRule="atLeast"/>
    </w:pPr>
    <w:rPr>
      <w:rFonts w:ascii="Helvetica Neue" w:hAnsi="Helvetica Neue" w:eastAsia="Helvetica Neue" w:cs="Times New Roman"/>
      <w:color w:val="000000"/>
      <w:sz w:val="26"/>
      <w:szCs w:val="26"/>
      <w:lang w:val="en-US" w:bidi="ar-SA"/>
    </w:rPr>
  </w:style>
  <w:style w:type="character" w:customStyle="1" w:styleId="39">
    <w:name w:val="页眉 字符"/>
    <w:basedOn w:val="26"/>
    <w:link w:val="17"/>
    <w:qFormat/>
    <w:uiPriority w:val="0"/>
    <w:rPr>
      <w:rFonts w:ascii="宋体" w:hAnsi="宋体" w:cs="宋体"/>
      <w:sz w:val="18"/>
      <w:szCs w:val="18"/>
      <w:lang w:val="zh-CN" w:bidi="zh-CN"/>
    </w:rPr>
  </w:style>
  <w:style w:type="character" w:customStyle="1" w:styleId="40">
    <w:name w:val="页脚 字符"/>
    <w:basedOn w:val="26"/>
    <w:link w:val="16"/>
    <w:qFormat/>
    <w:uiPriority w:val="0"/>
    <w:rPr>
      <w:rFonts w:ascii="宋体" w:hAnsi="宋体" w:cs="宋体"/>
      <w:sz w:val="18"/>
      <w:szCs w:val="18"/>
      <w:lang w:val="zh-CN" w:bidi="zh-CN"/>
    </w:rPr>
  </w:style>
  <w:style w:type="character" w:customStyle="1" w:styleId="41">
    <w:name w:val="批注框文本 字符"/>
    <w:basedOn w:val="26"/>
    <w:link w:val="15"/>
    <w:qFormat/>
    <w:uiPriority w:val="0"/>
    <w:rPr>
      <w:rFonts w:ascii="宋体" w:hAnsi="宋体" w:cs="宋体"/>
      <w:sz w:val="18"/>
      <w:szCs w:val="18"/>
      <w:lang w:val="zh-CN" w:bidi="zh-CN"/>
    </w:rPr>
  </w:style>
  <w:style w:type="paragraph" w:customStyle="1" w:styleId="42">
    <w:name w:val="pagenum"/>
    <w:basedOn w:val="16"/>
    <w:qFormat/>
    <w:uiPriority w:val="0"/>
    <w:pPr>
      <w:widowControl/>
      <w:tabs>
        <w:tab w:val="center" w:pos="4536"/>
        <w:tab w:val="right" w:pos="9072"/>
      </w:tabs>
      <w:snapToGrid/>
      <w:spacing w:after="120"/>
    </w:pPr>
    <w:rPr>
      <w:rFonts w:ascii="Verdana" w:hAnsi="Verdana" w:cs="Times New Roman"/>
      <w:sz w:val="14"/>
      <w:szCs w:val="14"/>
      <w:lang w:val="nl-BE" w:eastAsia="en-US"/>
    </w:rPr>
  </w:style>
  <w:style w:type="paragraph" w:styleId="43">
    <w:name w:val="List Paragraph"/>
    <w:basedOn w:val="1"/>
    <w:qFormat/>
    <w:uiPriority w:val="34"/>
    <w:pPr>
      <w:ind w:left="720"/>
      <w:contextualSpacing/>
    </w:pPr>
    <w:rPr>
      <w:sz w:val="20"/>
    </w:rPr>
  </w:style>
  <w:style w:type="character" w:customStyle="1" w:styleId="44">
    <w:name w:val="font01"/>
    <w:basedOn w:val="26"/>
    <w:qFormat/>
    <w:uiPriority w:val="0"/>
    <w:rPr>
      <w:rFonts w:hint="eastAsia" w:ascii="宋体" w:hAnsi="宋体" w:eastAsia="宋体" w:cs="宋体"/>
      <w:b/>
      <w:color w:val="000000"/>
      <w:sz w:val="24"/>
      <w:szCs w:val="24"/>
      <w:u w:val="none"/>
    </w:rPr>
  </w:style>
  <w:style w:type="character" w:customStyle="1" w:styleId="45">
    <w:name w:val="font21"/>
    <w:basedOn w:val="26"/>
    <w:qFormat/>
    <w:uiPriority w:val="0"/>
    <w:rPr>
      <w:rFonts w:hint="eastAsia" w:ascii="微软雅黑 Light" w:hAnsi="微软雅黑 Light" w:eastAsia="微软雅黑 Light" w:cs="微软雅黑 Light"/>
      <w:color w:val="000000"/>
      <w:sz w:val="24"/>
      <w:szCs w:val="24"/>
      <w:u w:val="none"/>
    </w:rPr>
  </w:style>
  <w:style w:type="paragraph" w:customStyle="1" w:styleId="46">
    <w:name w:val="样式"/>
    <w:basedOn w:val="1"/>
    <w:qFormat/>
    <w:uiPriority w:val="0"/>
    <w:pPr>
      <w:adjustRightInd w:val="0"/>
    </w:pPr>
    <w:rPr>
      <w:rFonts w:hint="eastAsia" w:cs="Times New Roman"/>
      <w:sz w:val="24"/>
      <w:szCs w:val="24"/>
    </w:rPr>
  </w:style>
  <w:style w:type="character" w:customStyle="1" w:styleId="47">
    <w:name w:val="正文文本 字符"/>
    <w:basedOn w:val="26"/>
    <w:link w:val="10"/>
    <w:qFormat/>
    <w:uiPriority w:val="0"/>
    <w:rPr>
      <w:rFonts w:hint="default" w:ascii="Calibri" w:hAnsi="Calibri" w:eastAsia="宋体" w:cs="Times New Roman"/>
      <w:sz w:val="22"/>
      <w:szCs w:val="22"/>
      <w:lang w:eastAsia="en-US"/>
    </w:rPr>
  </w:style>
  <w:style w:type="paragraph" w:customStyle="1" w:styleId="48">
    <w:name w:val="_Style 15"/>
    <w:basedOn w:val="1"/>
    <w:next w:val="43"/>
    <w:qFormat/>
    <w:uiPriority w:val="34"/>
    <w:pPr>
      <w:ind w:firstLine="420" w:firstLineChars="200"/>
      <w:jc w:val="both"/>
    </w:pPr>
    <w:rPr>
      <w:rFonts w:ascii="Calibri" w:hAnsi="Calibri"/>
      <w:kern w:val="2"/>
      <w:sz w:val="21"/>
      <w:lang w:val="en-US"/>
    </w:rPr>
  </w:style>
  <w:style w:type="paragraph" w:customStyle="1" w:styleId="49">
    <w:name w:val="正文1"/>
    <w:basedOn w:val="1"/>
    <w:qFormat/>
    <w:uiPriority w:val="0"/>
    <w:pPr>
      <w:spacing w:after="200" w:line="300" w:lineRule="atLeast"/>
    </w:pPr>
    <w:rPr>
      <w:rFonts w:ascii="Calibri" w:hAnsi="Calibri"/>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Info spid="_x0000_s3074"/>
    <customShpInfo spid="_x0000_s3075"/>
    <customShpInfo spid="_x0000_s3076"/>
    <customShpInfo spid="_x0000_s3077"/>
    <customShpInfo spid="_x0000_s3078"/>
    <customShpInfo spid="_x0000_s3079"/>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53</Pages>
  <Words>25707</Words>
  <Characters>26806</Characters>
  <Lines>207</Lines>
  <Paragraphs>58</Paragraphs>
  <TotalTime>7</TotalTime>
  <ScaleCrop>false</ScaleCrop>
  <LinksUpToDate>false</LinksUpToDate>
  <CharactersWithSpaces>27661</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2022-03-16T07:22:00Z</dcterms:created>
  <dc:creator>Administrator</dc:creator>
  <cp:lastModifiedBy>@</cp:lastModifiedBy>
  <cp:lastPrinted>2022-06-08T02:29:00Z</cp:lastPrinted>
  <dcterms:modified xsi:type="dcterms:W3CDTF">2022-10-18T09:24:01Z</dcterms:modified>
  <dc:title>中石化贵州石油分公司</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2020-01-10T00:00:00Z</vt:filetime>
  </property>
  <property fmtid="{D5CDD505-2E9C-101B-9397-08002B2CF9AE}" pid="3" name="Creator">
    <vt:lpwstr>WPS 文字</vt:lpwstr>
  </property>
  <property fmtid="{D5CDD505-2E9C-101B-9397-08002B2CF9AE}" pid="4" name="LastSaved">
    <vt:filetime>2020-02-05T00:00:00Z</vt:filetime>
  </property>
  <property fmtid="{D5CDD505-2E9C-101B-9397-08002B2CF9AE}" pid="5" name="KSOProductBuildVer">
    <vt:lpwstr>2052-11.1.0.11435</vt:lpwstr>
  </property>
  <property fmtid="{D5CDD505-2E9C-101B-9397-08002B2CF9AE}" pid="6" name="ICV">
    <vt:lpwstr>F8F2A51838A5473A846EF95DA2640CE1</vt:lpwstr>
  </property>
  <property fmtid="{D5CDD505-2E9C-101B-9397-08002B2CF9AE}" pid="7" name="MSIP_Label_dad3be33-4108-4738-9e07-d8656a181486_Enabled">
    <vt:lpwstr>true</vt:lpwstr>
  </property>
  <property fmtid="{D5CDD505-2E9C-101B-9397-08002B2CF9AE}" pid="8" name="MSIP_Label_dad3be33-4108-4738-9e07-d8656a181486_SetDate">
    <vt:lpwstr>2022-03-14T08:44:14Z</vt:lpwstr>
  </property>
  <property fmtid="{D5CDD505-2E9C-101B-9397-08002B2CF9AE}" pid="9" name="MSIP_Label_dad3be33-4108-4738-9e07-d8656a181486_Method">
    <vt:lpwstr>Privileged</vt:lpwstr>
  </property>
  <property fmtid="{D5CDD505-2E9C-101B-9397-08002B2CF9AE}" pid="10" name="MSIP_Label_dad3be33-4108-4738-9e07-d8656a181486_Name">
    <vt:lpwstr>Public No Visual Label</vt:lpwstr>
  </property>
  <property fmtid="{D5CDD505-2E9C-101B-9397-08002B2CF9AE}" pid="11" name="MSIP_Label_dad3be33-4108-4738-9e07-d8656a181486_SiteId">
    <vt:lpwstr>945c199a-83a2-4e80-9f8c-5a91be5752dd</vt:lpwstr>
  </property>
  <property fmtid="{D5CDD505-2E9C-101B-9397-08002B2CF9AE}" pid="12" name="MSIP_Label_dad3be33-4108-4738-9e07-d8656a181486_ActionId">
    <vt:lpwstr>3f98c8f7-daba-432d-b5e5-a77a960de8a8</vt:lpwstr>
  </property>
  <property fmtid="{D5CDD505-2E9C-101B-9397-08002B2CF9AE}" pid="13" name="MSIP_Label_dad3be33-4108-4738-9e07-d8656a181486_ContentBits">
    <vt:lpwstr>0</vt:lpwstr>
  </property>
  <property fmtid="{D5CDD505-2E9C-101B-9397-08002B2CF9AE}" pid="14" name="commondata">
    <vt:lpwstr>eyJoZGlkIjoiZTk5Y2E2MWEyYjI0YjkxZDliNDgwMDFkYzUyNzYyNGUifQ==</vt:lpwstr>
  </property>
</Properties>
</file>